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none" w:color="FFFFFF" w:sz="0"/>
              <w:left w:val="none" w:color="FFFFFF" w:sz="0"/>
              <w:bottom w:val="single" w:color="944454" w:sz="12"/>
              <w:right w:val="none" w:color="FFFFFF" w:sz="0"/>
            </w:tcBorders>
            <w:shd w:fill="FFFFFF" w:val="clear"/>
            <w:tcMar>
              <w:top w:type="dxa" w:w="60"/>
              <w:left w:type="dxa" w:w="0"/>
              <w:bottom w:type="dxa" w:w="60"/>
              <w:right w:type="dxa" w:w="0"/>
            </w:tcMar>
          </w:tcPr>
          <w:p>
            <w:pPr>
              <w:spacing w:after="60" w:before="0"/>
              <w:jc w:val="left"/>
            </w:pPr>
            <w:r>
              <w:rPr>
                <w:rFonts w:ascii="Calibri" w:cs="Calibri" w:eastAsia="Calibri" w:hAnsi="Calibri"/>
                <w:b/>
                <w:bCs/>
                <w:i w:val="false"/>
                <w:iCs w:val="false"/>
                <w:caps/>
                <w:color w:val="1F2A2C"/>
                <w:sz w:val="22"/>
                <w:szCs w:val="22"/>
              </w:rPr>
              <w:t xml:space="preserve">AFRICAN RENAISSANCE TRUST</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color w:val="5B5B5B"/>
                <w:sz w:val="22"/>
                <w:szCs w:val="22"/>
              </w:rPr>
              <w:t xml:space="preserve">INSTITUTIONAL BRIEFING</w:t>
            </w:r>
            <w:r>
              <w:rPr>
                <w:rFonts w:ascii="Calibri" w:cs="Calibri" w:eastAsia="Calibri" w:hAnsi="Calibri"/>
                <w:b w:val="false"/>
                <w:bCs w:val="false"/>
                <w:i w:val="false"/>
                <w:iCs w:val="false"/>
                <w:caps w:val="false"/>
                <w:color w:val="5B5B5B"/>
                <w:sz w:val="22"/>
                <w:szCs w:val="22"/>
              </w:rPr>
              <w:t xml:space="preserve">   ·   </w:t>
            </w:r>
            <w:r>
              <w:rPr>
                <w:rFonts w:ascii="Calibri" w:cs="Calibri" w:eastAsia="Calibri" w:hAnsi="Calibri"/>
                <w:b/>
                <w:bCs/>
                <w:i w:val="false"/>
                <w:iCs w:val="false"/>
                <w:caps w:val="false"/>
                <w:color w:val="944454"/>
                <w:sz w:val="22"/>
                <w:szCs w:val="22"/>
              </w:rPr>
              <w:t xml:space="preserve">No. 12/36</w:t>
            </w:r>
          </w:p>
          <w:p>
            <w:pPr>
              <w:spacing w:after="80" w:before="0"/>
              <w:jc w:val="left"/>
            </w:pPr>
            <w:r>
              <w:rPr>
                <w:rFonts w:ascii="Calibri" w:cs="Calibri" w:eastAsia="Calibri" w:hAnsi="Calibri"/>
                <w:b/>
                <w:bCs/>
                <w:i w:val="false"/>
                <w:iCs w:val="false"/>
                <w:caps/>
                <w:color w:val="944454"/>
                <w:sz w:val="18"/>
                <w:szCs w:val="18"/>
              </w:rPr>
              <w:t xml:space="preserve">GENDER EQUALITY</w:t>
            </w:r>
            <w:r>
              <w:rPr>
                <w:rFonts w:ascii="Calibri" w:cs="Calibri" w:eastAsia="Calibri" w:hAnsi="Calibri"/>
                <w:b w:val="false"/>
                <w:bCs w:val="false"/>
                <w:i w:val="false"/>
                <w:iCs w:val="false"/>
                <w:caps w:val="false"/>
                <w:color w:val="5B5B5B"/>
                <w:sz w:val="18"/>
                <w:szCs w:val="18"/>
              </w:rPr>
              <w:t xml:space="preserve">   |   </w:t>
            </w:r>
            <w:r>
              <w:rPr>
                <w:rFonts w:ascii="Calibri" w:cs="Calibri" w:eastAsia="Calibri" w:hAnsi="Calibri"/>
                <w:b w:val="false"/>
                <w:bCs w:val="false"/>
                <w:i/>
                <w:iCs/>
                <w:caps w:val="false"/>
                <w:color w:val="5B5B5B"/>
                <w:sz w:val="18"/>
                <w:szCs w:val="18"/>
              </w:rPr>
              <w:t xml:space="preserve">Rights · Representation · Decision-Making Architecture</w:t>
            </w:r>
          </w:p>
        </w:tc>
      </w:tr>
    </w:tbl>
    <w:p>
      <w:pPr>
        <w:spacing w:after="40" w:before="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rPr>
          <w:trHeight w:val="2592" w:hRule="atLeast"/>
        </w:trPr>
        <w:tc>
          <w:tcPr>
            <w:tcW w:type="dxa" w:w="9648"/>
            <w:tcBorders>
              <w:top w:val="dashed" w:color="D4D1CA" w:sz="6"/>
              <w:left w:val="dashed" w:color="D4D1CA" w:sz="6"/>
              <w:bottom w:val="dashed" w:color="D4D1CA" w:sz="6"/>
              <w:right w:val="dashed" w:color="D4D1CA" w:sz="6"/>
            </w:tcBorders>
            <w:shd w:fill="EFE9DA" w:val="clear"/>
            <w:tcMar>
              <w:top w:type="dxa" w:w="240"/>
              <w:left w:type="dxa" w:w="240"/>
              <w:bottom w:type="dxa" w:w="240"/>
              <w:right w:type="dxa" w:w="240"/>
            </w:tcMar>
            <w:vAlign w:val="center"/>
          </w:tcPr>
          <w:p>
            <w:pPr>
              <w:spacing w:after="40" w:before="0"/>
              <w:jc w:val="center"/>
            </w:pPr>
            <w:r>
              <w:rPr>
                <w:rFonts w:ascii="Calibri" w:cs="Calibri" w:eastAsia="Calibri" w:hAnsi="Calibri"/>
                <w:b/>
                <w:bCs/>
                <w:i w:val="false"/>
                <w:iCs w:val="false"/>
                <w:caps/>
                <w:color w:val="5B5B5B"/>
                <w:sz w:val="24"/>
                <w:szCs w:val="24"/>
              </w:rPr>
              <w:t xml:space="preserve">THUMBNAIL IMAGE</w:t>
            </w:r>
          </w:p>
          <w:p>
            <w:pPr>
              <w:spacing w:after="20" w:before="0"/>
              <w:jc w:val="center"/>
            </w:pPr>
            <w:r>
              <w:rPr>
                <w:rFonts w:ascii="Calibri" w:cs="Calibri" w:eastAsia="Calibri" w:hAnsi="Calibri"/>
                <w:b w:val="false"/>
                <w:bCs w:val="false"/>
                <w:i/>
                <w:iCs/>
                <w:caps w:val="false"/>
                <w:color w:val="5B5B5B"/>
                <w:sz w:val="18"/>
                <w:szCs w:val="18"/>
              </w:rPr>
              <w:t xml:space="preserve">Replace this placeholder with the featured image (1200 × 675 px recommended, 16:9).</w:t>
            </w:r>
          </w:p>
          <w:p>
            <w:pPr>
              <w:spacing w:after="0" w:before="0"/>
              <w:jc w:val="center"/>
            </w:pPr>
            <w:r>
              <w:rPr>
                <w:rFonts w:ascii="Calibri" w:cs="Calibri" w:eastAsia="Calibri" w:hAnsi="Calibri"/>
                <w:b w:val="false"/>
                <w:bCs w:val="false"/>
                <w:i w:val="false"/>
                <w:iCs w:val="false"/>
                <w:caps w:val="false"/>
                <w:color w:val="5B5B5B"/>
                <w:sz w:val="16"/>
                <w:szCs w:val="16"/>
              </w:rPr>
              <w:t xml:space="preserve">For WordPress upload: set the same image as the post Featured Image.</w:t>
            </w:r>
          </w:p>
        </w:tc>
      </w:tr>
    </w:tbl>
    <w:p>
      <w:pPr>
        <w:spacing w:after="80" w:before="280" w:line="280"/>
        <w:jc w:val="left"/>
      </w:pPr>
      <w:r>
        <w:rPr>
          <w:rFonts w:ascii="Calibri" w:cs="Calibri" w:eastAsia="Calibri" w:hAnsi="Calibri"/>
          <w:b/>
          <w:bCs/>
          <w:i w:val="false"/>
          <w:iCs w:val="false"/>
          <w:caps w:val="false"/>
          <w:color w:val="1F2A2C"/>
          <w:sz w:val="44"/>
          <w:szCs w:val="44"/>
        </w:rPr>
        <w:t xml:space="preserve">Malawi Doubled Its Health Budget</w:t>
      </w:r>
    </w:p>
    <w:p>
      <w:pPr>
        <w:spacing w:after="200" w:before="0" w:line="300"/>
        <w:jc w:val="left"/>
      </w:pPr>
      <w:r>
        <w:rPr>
          <w:rFonts w:ascii="Calibri" w:cs="Calibri" w:eastAsia="Calibri" w:hAnsi="Calibri"/>
          <w:b w:val="false"/>
          <w:bCs w:val="false"/>
          <w:i/>
          <w:iCs/>
          <w:caps w:val="false"/>
          <w:color w:val="944454"/>
          <w:sz w:val="24"/>
          <w:szCs w:val="24"/>
        </w:rPr>
        <w:t xml:space="preserve">Four countries turned dialogues into fiscal instruments — protecting RMNCAH delivery platforms women and adolescents depend on</w:t>
      </w:r>
    </w:p>
    <w:p>
      <w:pPr>
        <w:pBdr>
          <w:bottom w:val="single" w:color="D4D1CA" w:sz="4" w:space="1"/>
        </w:pBdr>
        <w:spacing w:after="200" w:before="0"/>
      </w:pPr>
      <w: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216"/>
        <w:gridCol w:w="3216"/>
        <w:gridCol w:w="3216"/>
      </w:tblGrid>
      <w:tr>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SERIES</w:t>
            </w:r>
          </w:p>
          <w:p>
            <w:pPr>
              <w:spacing w:after="0" w:before="0"/>
              <w:jc w:val="left"/>
            </w:pPr>
            <w:r>
              <w:rPr>
                <w:rFonts w:ascii="Calibri" w:cs="Calibri" w:eastAsia="Calibri" w:hAnsi="Calibri"/>
                <w:b w:val="false"/>
                <w:bCs w:val="false"/>
                <w:i w:val="false"/>
                <w:iCs w:val="false"/>
                <w:caps w:val="false"/>
                <w:color w:val="28251D"/>
                <w:sz w:val="17"/>
                <w:szCs w:val="17"/>
              </w:rPr>
              <w:t xml:space="preserve">AU Intelligence · 36-Brief Series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AUDIENCE</w:t>
            </w:r>
          </w:p>
          <w:p>
            <w:pPr>
              <w:spacing w:after="0" w:before="0"/>
              <w:jc w:val="left"/>
            </w:pPr>
            <w:r>
              <w:rPr>
                <w:rFonts w:ascii="Calibri" w:cs="Calibri" w:eastAsia="Calibri" w:hAnsi="Calibri"/>
                <w:b w:val="false"/>
                <w:bCs w:val="false"/>
                <w:i w:val="false"/>
                <w:iCs w:val="false"/>
                <w:caps w:val="false"/>
                <w:color w:val="28251D"/>
                <w:sz w:val="17"/>
                <w:szCs w:val="17"/>
              </w:rPr>
              <w:t xml:space="preserve">Donor desks · Parliamentary committees · Ministerial offices</w:t>
            </w:r>
          </w:p>
        </w:tc>
        <w:tc>
          <w:tcPr>
            <w:tcBorders>
              <w:top w:val="none" w:color="FFFFFF" w:sz="0"/>
              <w:left w:val="none" w:color="FFFFFF" w:sz="0"/>
              <w:bottom w:val="none" w:color="FFFFFF" w:sz="0"/>
              <w:right w:val="none" w:color="FFFFFF" w:sz="0"/>
            </w:tcBorders>
            <w:shd w:fill="F4F0E6" w:val="clear"/>
            <w:tcMar>
              <w:top w:type="dxa" w:w="100"/>
              <w:left w:type="dxa" w:w="140"/>
              <w:bottom w:type="dxa" w:w="100"/>
              <w:right w:type="dxa" w:w="140"/>
            </w:tcMar>
          </w:tcPr>
          <w:p>
            <w:pPr>
              <w:spacing w:after="20" w:before="0"/>
              <w:jc w:val="left"/>
            </w:pPr>
            <w:r>
              <w:rPr>
                <w:rFonts w:ascii="Calibri" w:cs="Calibri" w:eastAsia="Calibri" w:hAnsi="Calibri"/>
                <w:b/>
                <w:bCs/>
                <w:i w:val="false"/>
                <w:iCs w:val="false"/>
                <w:caps/>
                <w:color w:val="5B5B5B"/>
                <w:sz w:val="14"/>
                <w:szCs w:val="14"/>
              </w:rPr>
              <w:t xml:space="preserve">FORMAT</w:t>
            </w:r>
          </w:p>
          <w:p>
            <w:pPr>
              <w:spacing w:after="0" w:before="0"/>
              <w:jc w:val="left"/>
            </w:pPr>
            <w:r>
              <w:rPr>
                <w:rFonts w:ascii="Calibri" w:cs="Calibri" w:eastAsia="Calibri" w:hAnsi="Calibri"/>
                <w:b w:val="false"/>
                <w:bCs w:val="false"/>
                <w:i w:val="false"/>
                <w:iCs w:val="false"/>
                <w:caps w:val="false"/>
                <w:color w:val="28251D"/>
                <w:sz w:val="17"/>
                <w:szCs w:val="17"/>
              </w:rPr>
              <w:t xml:space="preserve">One-page institutional briefing · Tabling-ready</w:t>
            </w:r>
          </w:p>
        </w:tc>
      </w:tr>
    </w:tbl>
    <w:p>
      <w:pPr>
        <w:spacing w:after="60" w:before="0"/>
        <w:jc w:val="left"/>
      </w:pPr>
      <w:r>
        <w:rPr>
          <w:rFonts w:ascii="Calibri" w:cs="Calibri" w:eastAsia="Calibri" w:hAnsi="Calibri"/>
          <w:b w:val="false"/>
          <w:bCs w:val="false"/>
          <w:i w:val="false"/>
          <w:iCs w:val="false"/>
          <w:caps w:val="false"/>
          <w:color w:val="28251D"/>
          <w:sz w:val="8"/>
          <w:szCs w:val="8"/>
        </w:rPr>
        <w:t xml:space="preserve"> </w:t>
      </w:r>
    </w:p>
    <w:p>
      <w:pPr>
        <w:pBdr>
          <w:left w:val="single" w:color="944454" w:sz="18" w:space="12"/>
        </w:pBdr>
        <w:spacing w:after="160" w:before="120" w:line="320"/>
        <w:ind w:left="200"/>
      </w:pPr>
      <w:r>
        <w:rPr>
          <w:rFonts w:ascii="Calibri" w:cs="Calibri" w:eastAsia="Calibri" w:hAnsi="Calibri"/>
          <w:b w:val="false"/>
          <w:bCs w:val="false"/>
          <w:i w:val="false"/>
          <w:iCs w:val="false"/>
          <w:caps w:val="false"/>
          <w:color w:val="28251D"/>
          <w:sz w:val="23"/>
          <w:szCs w:val="23"/>
        </w:rPr>
        <w:t xml:space="preserve">Malawi's 2024 budget included something that surprised even optimistic health financing advocates: a doubling of the health sector allocation. Not a modest increase. Not an inflation adjustment. A full doubling, backed by an $80 million Program for Results financing model that ties disbursements to verified health outcomes rather than input spending. Malawi — one of Africa's poorest nations, heavily dependent on external health financing — decided to bet on itself.</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It was not alone. Zambia increased its health budget by twenty per cent and committed to reviewing its Public Financial Management and Public Procurement Acts specifically to improve health spending efficiency. When a country reforms its procurement law to accelerate health commodity purchasing, that is structural change, not political gesture.</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Kenya established the consolidated Social Health Authority, replacing the beleaguered National Health Insurance Fund. The SHA is designed to pool formal and informal sector contributions, expand coverage beyond the employed population, and create the risk-pooling mechanism that universal health coverage requires. The transition has been contentious — labour unions, private insurers, and county governments all have concerns — but the institutional architecture is now law.</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Burundi mandated a new national health insurance law. In a country emerging from decades of political instability and economic fragility, legislating health insurance is an act of institutional ambition that signals where the government believes the social contract must head.</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These are not isolated acts of political goodwill. Each emerged from a National Health Financing Dialogue conducted under the ALM framework. Each was framed within the ALM Declaration's four pillars. Each will be tracked on the continental scorecard and reported at the AU Executive Council. The pattern is consistent: continental declaration creates political obligation, national dialogue converts obligation into specific fiscal action, and continental monitoring ensures follow-through.</w:t>
      </w:r>
    </w:p>
    <w:p>
      <w:pPr>
        <w:spacing w:after="140" w:before="100" w:line="300"/>
        <w:jc w:val="left"/>
      </w:pPr>
      <w:r>
        <w:rPr>
          <w:rFonts w:ascii="Calibri" w:cs="Calibri" w:eastAsia="Calibri" w:hAnsi="Calibri"/>
          <w:b w:val="false"/>
          <w:bCs w:val="false"/>
          <w:i w:val="false"/>
          <w:iCs w:val="false"/>
          <w:caps w:val="false"/>
          <w:color w:val="28251D"/>
          <w:sz w:val="21"/>
          <w:szCs w:val="21"/>
        </w:rPr>
        <w:t xml:space="preserve">The sceptic's question is fair: will these commitments survive the next budget cycle, the next election, the next economic shock? The honest answer is: not automatically. But the ALM architecture introduces a friction that previous health financing commitments lacked. A president who doubles the health budget at an NHFD and then reverses it must explain the reversal not just to domestic constituencies but to fellow heads of state at the Assembly. Continental peer accountability is not a guarantee. But it is a constraint that did not exist before.</w:t>
      </w:r>
    </w:p>
    <w:p>
      <w:pPr>
        <w:spacing w:after="60" w:before="10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00696F" w:sz="6"/>
              <w:left w:val="single" w:color="00696F" w:sz="18"/>
              <w:bottom w:val="single" w:color="00696F" w:sz="6"/>
              <w:right w:val="single" w:color="00696F" w:sz="6"/>
            </w:tcBorders>
            <w:shd w:fill="E9F2F2"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00696F"/>
                <w:sz w:val="18"/>
                <w:szCs w:val="18"/>
              </w:rPr>
              <w:t xml:space="preserve">ART INSIGHT — Institutional Read</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ART tracked these fiscal movements across multiple Member States and presented them to the AU Assembly as evidence that the ALM model is producing measurable domestic financing gains — strengthening the political case for continued AU investment in the ALM architecture and creating peer pressure for lagging states.</w:t>
            </w:r>
          </w:p>
        </w:tc>
      </w:tr>
    </w:tbl>
    <w:p>
      <w:pPr>
        <w:spacing w:after="60" w:before="80"/>
        <w:jc w:val="left"/>
      </w:pPr>
      <w:r>
        <w:rPr>
          <w:rFonts w:ascii="Calibri" w:cs="Calibri" w:eastAsia="Calibri" w:hAnsi="Calibri"/>
          <w:b w:val="false"/>
          <w:bCs w:val="false"/>
          <w:i w:val="false"/>
          <w:iCs w:val="false"/>
          <w:caps w:val="false"/>
          <w:color w:val="28251D"/>
          <w:sz w:val="8"/>
          <w:szCs w:val="8"/>
        </w:rPr>
        <w:t xml:space="preserve"> </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9648"/>
      </w:tblGrid>
      <w:tr>
        <w:tc>
          <w:tcPr>
            <w:tcW w:type="dxa" w:w="9648"/>
            <w:tcBorders>
              <w:top w:val="single" w:color="BC8B2C" w:sz="6"/>
              <w:left w:val="single" w:color="BC8B2C" w:sz="18"/>
              <w:bottom w:val="single" w:color="BC8B2C" w:sz="6"/>
              <w:right w:val="single" w:color="BC8B2C" w:sz="6"/>
            </w:tcBorders>
            <w:shd w:fill="F7F0DC" w:val="clear"/>
            <w:tcMar>
              <w:top w:type="dxa" w:w="200"/>
              <w:left w:type="dxa" w:w="240"/>
              <w:bottom w:type="dxa" w:w="200"/>
              <w:right w:type="dxa" w:w="240"/>
            </w:tcMar>
          </w:tcPr>
          <w:p>
            <w:pPr>
              <w:spacing w:after="60" w:before="0"/>
              <w:jc w:val="left"/>
            </w:pPr>
            <w:r>
              <w:rPr>
                <w:rFonts w:ascii="Calibri" w:cs="Calibri" w:eastAsia="Calibri" w:hAnsi="Calibri"/>
                <w:b/>
                <w:bCs/>
                <w:i w:val="false"/>
                <w:iCs w:val="false"/>
                <w:caps/>
                <w:color w:val="BC8B2C"/>
                <w:sz w:val="18"/>
                <w:szCs w:val="18"/>
              </w:rPr>
              <w:t xml:space="preserve">DONOR RELEVANCE — Decision Implication</w:t>
            </w:r>
          </w:p>
          <w:p>
            <w:pPr>
              <w:spacing w:after="0" w:before="0" w:line="290"/>
              <w:jc w:val="left"/>
            </w:pPr>
            <w:r>
              <w:rPr>
                <w:rFonts w:ascii="Calibri" w:cs="Calibri" w:eastAsia="Calibri" w:hAnsi="Calibri"/>
                <w:b w:val="false"/>
                <w:bCs w:val="false"/>
                <w:i w:val="false"/>
                <w:iCs w:val="false"/>
                <w:caps w:val="false"/>
                <w:color w:val="28251D"/>
                <w:sz w:val="20"/>
                <w:szCs w:val="20"/>
              </w:rPr>
              <w:t xml:space="preserve">For donors, Malawi, Sierra Leone, Liberia, and Zambia demonstrate that national health financing dialogues are not consultative exercises — they produce enacted budget decisions. The political and fiscal coverage created by these dialogues protects the RMNCAH and reproductive-health delivery platforms women, adolescents, and children depend on.</w:t>
            </w:r>
          </w:p>
        </w:tc>
      </w:tr>
    </w:tbl>
    <w:p>
      <w:pPr>
        <w:spacing w:after="60" w:before="240"/>
        <w:jc w:val="left"/>
      </w:pPr>
      <w:r>
        <w:rPr>
          <w:rFonts w:ascii="Calibri" w:cs="Calibri" w:eastAsia="Calibri" w:hAnsi="Calibri"/>
          <w:b/>
          <w:bCs/>
          <w:i w:val="false"/>
          <w:iCs w:val="false"/>
          <w:caps/>
          <w:color w:val="5B5B5B"/>
          <w:sz w:val="18"/>
          <w:szCs w:val="18"/>
        </w:rPr>
        <w:t xml:space="preserve">AT-A-GLANCE ANALYTICS</w:t>
      </w:r>
    </w:p>
    <w:tbl>
      <w:tblPr>
        <w:tblW w:type="dxa" w:w="9648"/>
        <w:tblBorders>
          <w:top w:val="single" w:color="auto" w:sz="4"/>
          <w:left w:val="single" w:color="auto" w:sz="4"/>
          <w:bottom w:val="single" w:color="auto" w:sz="4"/>
          <w:right w:val="single" w:color="auto" w:sz="4"/>
          <w:insideH w:val="single" w:color="auto" w:sz="4"/>
          <w:insideV w:val="single" w:color="auto" w:sz="4"/>
        </w:tblBorders>
      </w:tblPr>
      <w:tblGrid>
        <w:gridCol w:w="3087"/>
        <w:gridCol w:w="6560"/>
      </w:tblGrid>
      <w:tr>
        <w:tc>
          <w:tcPr>
            <w:tcW w:type="dxa" w:w="3087"/>
            <w:tcBorders>
              <w:top w:val="single" w:color="1F2A2C" w:sz="18"/>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Country quartet</w:t>
            </w:r>
          </w:p>
        </w:tc>
        <w:tc>
          <w:tcPr>
            <w:tcW w:type="dxa" w:w="6560"/>
            <w:tcBorders>
              <w:top w:val="single" w:color="1F2A2C" w:sz="18"/>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Malawi · Sierra Leone · Liberia · Zambia</w:t>
            </w:r>
          </w:p>
        </w:tc>
      </w:tr>
      <w:tr>
        <w:tc>
          <w:tcPr>
            <w:tcW w:type="dxa" w:w="3087"/>
            <w:tcBorders>
              <w:top w:val="single" w:color="D4D1CA" w:sz="4"/>
              <w:left w:val="none" w:color="FFFFFF" w:sz="0"/>
              <w:bottom w:val="single" w:color="D4D1CA" w:sz="4"/>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Instrument</w:t>
            </w:r>
          </w:p>
        </w:tc>
        <w:tc>
          <w:tcPr>
            <w:tcW w:type="dxa" w:w="6560"/>
            <w:tcBorders>
              <w:top w:val="single" w:color="D4D1CA" w:sz="4"/>
              <w:left w:val="single" w:color="D4D1CA" w:sz="4"/>
              <w:bottom w:val="single" w:color="D4D1CA" w:sz="4"/>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National Health Financing Dialogues → enacted budget decisions</w:t>
            </w:r>
          </w:p>
        </w:tc>
      </w:tr>
      <w:tr>
        <w:tc>
          <w:tcPr>
            <w:tcW w:type="dxa" w:w="3087"/>
            <w:tcBorders>
              <w:top w:val="single" w:color="D4D1CA" w:sz="4"/>
              <w:left w:val="none" w:color="FFFFFF" w:sz="0"/>
              <w:bottom w:val="single" w:color="1F2A2C" w:sz="18"/>
              <w:right w:val="single" w:color="D4D1CA" w:sz="4"/>
            </w:tcBorders>
            <w:shd w:fill="FFFFFF" w:val="clear"/>
            <w:tcMar>
              <w:top w:type="dxa" w:w="100"/>
              <w:left w:type="dxa" w:w="0"/>
              <w:bottom w:type="dxa" w:w="100"/>
              <w:right w:type="dxa" w:w="100"/>
            </w:tcMar>
          </w:tcPr>
          <w:p>
            <w:pPr>
              <w:spacing w:after="0" w:before="0"/>
              <w:jc w:val="left"/>
            </w:pPr>
            <w:r>
              <w:rPr>
                <w:rFonts w:ascii="Calibri" w:cs="Calibri" w:eastAsia="Calibri" w:hAnsi="Calibri"/>
                <w:b/>
                <w:bCs/>
                <w:i w:val="false"/>
                <w:iCs w:val="false"/>
                <w:caps/>
                <w:color w:val="5B5B5B"/>
                <w:sz w:val="18"/>
                <w:szCs w:val="18"/>
              </w:rPr>
              <w:t xml:space="preserve">Outcome</w:t>
            </w:r>
          </w:p>
        </w:tc>
        <w:tc>
          <w:tcPr>
            <w:tcW w:type="dxa" w:w="6560"/>
            <w:tcBorders>
              <w:top w:val="single" w:color="D4D1CA" w:sz="4"/>
              <w:left w:val="single" w:color="D4D1CA" w:sz="4"/>
              <w:bottom w:val="single" w:color="1F2A2C" w:sz="18"/>
              <w:right w:val="none" w:color="FFFFFF" w:sz="0"/>
            </w:tcBorders>
            <w:shd w:fill="FFFFFF" w:val="clear"/>
            <w:tcMar>
              <w:top w:type="dxa" w:w="100"/>
              <w:left w:type="dxa" w:w="140"/>
              <w:bottom w:type="dxa" w:w="100"/>
              <w:right w:type="dxa" w:w="0"/>
            </w:tcMar>
          </w:tcPr>
          <w:p>
            <w:pPr>
              <w:spacing w:after="0" w:before="0"/>
              <w:jc w:val="left"/>
            </w:pPr>
            <w:r>
              <w:rPr>
                <w:rFonts w:ascii="Calibri" w:cs="Calibri" w:eastAsia="Calibri" w:hAnsi="Calibri"/>
                <w:b w:val="false"/>
                <w:bCs w:val="false"/>
                <w:i w:val="false"/>
                <w:iCs w:val="false"/>
                <w:caps w:val="false"/>
                <w:color w:val="28251D"/>
                <w:sz w:val="19"/>
                <w:szCs w:val="19"/>
              </w:rPr>
              <w:t xml:space="preserve">Malawi doubled domestic health budget allocation</w:t>
            </w:r>
          </w:p>
        </w:tc>
      </w:tr>
    </w:tbl>
    <w:p>
      <w:pPr>
        <w:pBdr>
          <w:bottom w:val="single" w:color="944454" w:sz="12" w:space="1"/>
        </w:pBdr>
        <w:spacing w:after="100" w:before="200"/>
      </w:pPr>
      <w:r>
        <w:t xml:space="preserve"> </w:t>
      </w:r>
    </w:p>
    <w:p>
      <w:pPr>
        <w:spacing w:after="80" w:before="0"/>
        <w:jc w:val="left"/>
      </w:pPr>
      <w:r>
        <w:rPr>
          <w:rFonts w:ascii="Calibri" w:cs="Calibri" w:eastAsia="Calibri" w:hAnsi="Calibri"/>
          <w:b/>
          <w:bCs/>
          <w:i w:val="false"/>
          <w:iCs w:val="false"/>
          <w:caps/>
          <w:color w:val="5B5B5B"/>
          <w:sz w:val="14"/>
          <w:szCs w:val="14"/>
        </w:rPr>
        <w:t xml:space="preserve">SUGGESTED CITATION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iCs/>
          <w:caps w:val="false"/>
          <w:color w:val="5B5B5B"/>
          <w:sz w:val="14"/>
          <w:szCs w:val="14"/>
        </w:rPr>
        <w:t xml:space="preserve">African Renaissance Trust (2026). “Malawi Doubled Its Health Budget.” AU Intelligence Series, Institutional Briefing No. 12/36, GENDER EQUALITY pillar. Available at africanrenaissancetrust.org/insights.</w:t>
      </w:r>
    </w:p>
    <w:p>
      <w:pPr>
        <w:spacing w:after="0" w:before="0"/>
        <w:jc w:val="left"/>
      </w:pPr>
      <w:r>
        <w:rPr>
          <w:rFonts w:ascii="Calibri" w:cs="Calibri" w:eastAsia="Calibri" w:hAnsi="Calibri"/>
          <w:b/>
          <w:bCs/>
          <w:i w:val="false"/>
          <w:iCs w:val="false"/>
          <w:caps/>
          <w:color w:val="5B5B5B"/>
          <w:sz w:val="14"/>
          <w:szCs w:val="14"/>
        </w:rPr>
        <w:t xml:space="preserve">FILE METADATA </w:t>
      </w:r>
      <w:r>
        <w:rPr>
          <w:rFonts w:ascii="Calibri" w:cs="Calibri" w:eastAsia="Calibri" w:hAnsi="Calibri"/>
          <w:b w:val="false"/>
          <w:bCs w:val="false"/>
          <w:i w:val="false"/>
          <w:iCs w:val="false"/>
          <w:caps w:val="false"/>
          <w:color w:val="5B5B5B"/>
          <w:sz w:val="14"/>
          <w:szCs w:val="14"/>
        </w:rPr>
        <w:t xml:space="preserve">— </w:t>
      </w:r>
      <w:r>
        <w:rPr>
          <w:rFonts w:ascii="Calibri" w:cs="Calibri" w:eastAsia="Calibri" w:hAnsi="Calibri"/>
          <w:b w:val="false"/>
          <w:bCs w:val="false"/>
          <w:i w:val="false"/>
          <w:iCs w:val="false"/>
          <w:caps w:val="false"/>
          <w:color w:val="5B5B5B"/>
          <w:sz w:val="14"/>
          <w:szCs w:val="14"/>
        </w:rPr>
        <w:t xml:space="preserve">Slug: malawi-doubled-health-budget · Pillar cluster index: 1/10 · WordPress upload: Insights → Add New → Featured Image required.</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Calibri" w:cs="Calibri" w:eastAsia="Calibri" w:hAnsi="Calibri"/>
        <w:b w:val="false"/>
        <w:bCs w:val="false"/>
        <w:i w:val="false"/>
        <w:iCs w:val="false"/>
        <w:caps w:val="false"/>
        <w:color w:val="5B5B5B"/>
        <w:sz w:val="14"/>
        <w:szCs w:val="14"/>
      </w:rPr>
      <w:t xml:space="preserve">© African Renaissance Trust 2026  ·  Institutional Briefing  ·  </w:t>
    </w:r>
    <w:r>
      <w:rPr>
        <w:rFonts w:ascii="Calibri" w:cs="Calibri" w:eastAsia="Calibri" w:hAnsi="Calibri"/>
        <w:color w:val="5B5B5B"/>
        <w:sz w:val="14"/>
        <w:szCs w:val="14"/>
      </w:rPr>
      <w:t xml:space="preserve">Brief </w:t>
      <w:fldChar w:fldCharType="begin"/>
      <w:instrText xml:space="preserve">PAGE</w:instrText>
      <w:fldChar w:fldCharType="separate"/>
      <w:fldChar w:fldCharType="end"/>
      <w:t xml:space="preserve"> / 36</w:t>
    </w:r>
    <w:r>
      <w:rPr>
        <w:rFonts w:ascii="Calibri" w:cs="Calibri" w:eastAsia="Calibri" w:hAnsi="Calibri"/>
        <w:b w:val="false"/>
        <w:bCs w:val="false"/>
        <w:i w:val="false"/>
        <w:iCs w:val="false"/>
        <w:caps w:val="false"/>
        <w:color w:val="5B5B5B"/>
        <w:sz w:val="14"/>
        <w:szCs w:val="14"/>
      </w:rPr>
      <w:t xml:space="preserve">  ·  insights.africanrenaissancetrust.org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before="0"/>
      <w:jc w:val="left"/>
    </w:pPr>
    <w:r>
      <w:rPr>
        <w:rFonts w:ascii="Calibri" w:cs="Calibri" w:eastAsia="Calibri" w:hAnsi="Calibri"/>
        <w:b/>
        <w:bCs/>
        <w:i w:val="false"/>
        <w:iCs w:val="false"/>
        <w:caps/>
        <w:color w:val="1F2A2C"/>
        <w:sz w:val="16"/>
        <w:szCs w:val="16"/>
      </w:rPr>
      <w:t xml:space="preserve">AFRICAN RENAISSANCE TRUST</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val="false"/>
        <w:bCs w:val="false"/>
        <w:i w:val="false"/>
        <w:iCs w:val="false"/>
        <w:caps/>
        <w:color w:val="5B5B5B"/>
        <w:sz w:val="16"/>
        <w:szCs w:val="16"/>
      </w:rPr>
      <w:t xml:space="preserve">AU INTELLIGENCE SERIES</w:t>
    </w:r>
    <w:r>
      <w:rPr>
        <w:rFonts w:ascii="Calibri" w:cs="Calibri" w:eastAsia="Calibri" w:hAnsi="Calibri"/>
        <w:b w:val="false"/>
        <w:bCs w:val="false"/>
        <w:i w:val="false"/>
        <w:iCs w:val="false"/>
        <w:caps w:val="false"/>
        <w:color w:val="5B5B5B"/>
        <w:sz w:val="16"/>
        <w:szCs w:val="16"/>
      </w:rPr>
      <w:t xml:space="preserve">   ·   </w:t>
    </w:r>
    <w:r>
      <w:rPr>
        <w:rFonts w:ascii="Calibri" w:cs="Calibri" w:eastAsia="Calibri" w:hAnsi="Calibri"/>
        <w:b/>
        <w:bCs/>
        <w:i w:val="false"/>
        <w:iCs w:val="false"/>
        <w:caps/>
        <w:color w:val="944454"/>
        <w:sz w:val="16"/>
        <w:szCs w:val="16"/>
      </w:rPr>
      <w:t xml:space="preserve">GENDER EQUALITY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825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Malawi Doubled Its Health Budget — AU Intelligence Brief 12/30</dc:title>
  <dc:creator>African Renaissance Trust</dc:creator>
  <dc:description>Four countries turned dialogues into fiscal instruments — protecting RMNCAH delivery platforms women and adolescents depend on</dc:description>
  <cp:lastModifiedBy>Un-named</cp:lastModifiedBy>
  <cp:revision>1</cp:revision>
  <dcterms:created xsi:type="dcterms:W3CDTF">2026-05-12T23:56:43.144Z</dcterms:created>
  <dcterms:modified xsi:type="dcterms:W3CDTF">2026-05-12T23:56:43.144Z</dcterms:modified>
</cp:coreProperties>
</file>

<file path=docProps/custom.xml><?xml version="1.0" encoding="utf-8"?>
<Properties xmlns="http://schemas.openxmlformats.org/officeDocument/2006/custom-properties" xmlns:vt="http://schemas.openxmlformats.org/officeDocument/2006/docPropsVTypes"/>
</file>