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15/36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Feeding 1.4 Billion — CAADP's Reckoning</w:t>
      </w:r>
    </w:p>
    <w:p>
      <w:pPr>
        <w:spacing w:after="200" w:before="0" w:line="300"/>
        <w:jc w:val="left"/>
      </w:pPr>
      <w:r>
        <w:rPr>
          <w:rFonts w:ascii="Calibri" w:cs="Calibri" w:eastAsia="Calibri" w:hAnsi="Calibri"/>
          <w:b w:val="false"/>
          <w:bCs w:val="false"/>
          <w:i/>
          <w:iCs/>
          <w:caps w:val="false"/>
          <w:color w:val="944454"/>
          <w:sz w:val="24"/>
          <w:szCs w:val="24"/>
        </w:rPr>
        <w:t xml:space="preserve">No country has met the agricultural investment benchmark — and women smallholder farmers carry the cost</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The fifth Biennial Review of the Comprehensive Africa Agriculture Development Programme delivered a result that should unsettle every agricultural investment portfolio on the continent: the average score improved to 5.25, but not a single country reached the 9.40 benchmark that represents adequate progress toward food security and agricultural transformation targets. Thirty-five Member States advanced their scores. None crossed the finish line.</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CAADP, launched in 2003, asked African governments to commit ten per cent of public expenditure to agriculture — the Maputo Declaration target, reaffirmed at Malabo in 2014. More than two decades later, the continent's most important agricultural policy framework has produced incremental progress but not transformational change. Agriculture employs between twenty and seventy per cent of the workforce across different African nations and contributes ten to forty per cent of GDP. The sector's underinvestment is not a development failure — it is a structural choice with cascading health consequences.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Malnutrition in all its forms — stunting, wasting, micronutrient deficiency, and increasingly obesity — is fundamentally an agricultural and food systems outcome. When governments underinvest in agriculture, the effects surface in paediatric wards, in maternal mortality statistics, and in the cognitive development trajectories of entire generations. The health sector cannot solve nutrition problems that originate in food systems.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transition to the Kampala Declaration represents CAADP's attempt at reinvention. The new framework emphasises food systems transformation rather than agricultural production alone. It sets a $100 billion continental investment target by 2035. It integrates nutrition, sustainability, and climate resilience into the agricultural policy architecture — recognising that growing more food matters less if that food is nutritionally inadequate, environmentally destructive, or climate-vulnerable.</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$100 billion target is ambitious but directionally correct. Africa's food import bill exceeded $75 billion in 2025. The continent spends more importing food than it would cost to transform its agricultural systems. The arithmetic of sovereignty demands that this equation reverse.</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For health outcomes specifically, the CAADP-health connection runs through three channels: nutrition-sensitive agriculture that produces micronutrient-rich foods, food safety systems that reduce the burden of foodborne disease, and rural economic development that generates the household income from which health expenditure flows.</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ART ensures nutrition and food security data from CAADP biennial reviews is connected to health financing discussions at the STC on Health — preventing the siloing of agricultural investment from health outcomes reporting at the Assembly level. ART's cross-cutting mandate makes this integration possible.</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the Kampala Declaration on agriculture pulls food systems, nutrition, and rural livelihoods into the same accountability frame as health. Because women smallholders produce most of the continent’s food yet hold the least land tenure, capital placed in the agriculture–nutrition–gender interface compounds across multiple development outcomes simultaneously.</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Benchmark gap</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No country has met the Maputo 10% agricultural-investment target</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New framework</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Kampala Declaration raises bar to 2035 indicators</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Cross-sector linkage</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Agriculture–nutrition–health single accountability frame</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“Feeding 1.4 Billion — CAADP's Reckoning.” AU Intelligence Series, Institutional Briefing No. 15/36,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caadp-kampala-reckoning · Pillar cluster index: 2/10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Feeding 1.4 Billion — CAADP's Reckoning — AU Intelligence Brief 15/30</dc:title>
  <dc:creator>African Renaissance Trust</dc:creator>
  <dc:description>No country has met the agricultural investment benchmark — and women smallholder farmers carry the cost</dc:description>
  <cp:lastModifiedBy>Un-named</cp:lastModifiedBy>
  <cp:revision>1</cp:revision>
  <dcterms:created xsi:type="dcterms:W3CDTF">2026-05-12T23:56:43.182Z</dcterms:created>
  <dcterms:modified xsi:type="dcterms:W3CDTF">2026-05-12T23:56:43.182Z</dcterms:modified>
</cp:coreProperties>
</file>

<file path=docProps/custom.xml><?xml version="1.0" encoding="utf-8"?>
<Properties xmlns="http://schemas.openxmlformats.org/officeDocument/2006/custom-properties" xmlns:vt="http://schemas.openxmlformats.org/officeDocument/2006/docPropsVTypes"/>
</file>