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Override ContentType="application/vnd.openxmlformats-officedocument.wordprocessingml.header+xml" PartName="/word/header1.xml"/>
  <Override ContentType="application/vnd.openxmlformats-officedocument.wordprocessingml.footer+xml" PartName="/word/footer1.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tbl>
      <w:tblPr>
        <w:tblW w:type="dxa" w:w="9648"/>
        <w:tblBorders>
          <w:top w:val="single" w:color="auto" w:sz="4"/>
          <w:left w:val="single" w:color="auto" w:sz="4"/>
          <w:bottom w:val="single" w:color="auto" w:sz="4"/>
          <w:right w:val="single" w:color="auto" w:sz="4"/>
          <w:insideH w:val="single" w:color="auto" w:sz="4"/>
          <w:insideV w:val="single" w:color="auto" w:sz="4"/>
        </w:tblBorders>
      </w:tblPr>
      <w:tblGrid>
        <w:gridCol w:w="9648"/>
      </w:tblGrid>
      <w:tr>
        <w:tc>
          <w:tcPr>
            <w:tcW w:type="dxa" w:w="9648"/>
            <w:tcBorders>
              <w:top w:val="none" w:color="FFFFFF" w:sz="0"/>
              <w:left w:val="none" w:color="FFFFFF" w:sz="0"/>
              <w:bottom w:val="single" w:color="944454" w:sz="12"/>
              <w:right w:val="none" w:color="FFFFFF" w:sz="0"/>
            </w:tcBorders>
            <w:shd w:fill="FFFFFF" w:val="clear"/>
            <w:tcMar>
              <w:top w:type="dxa" w:w="60"/>
              <w:left w:type="dxa" w:w="0"/>
              <w:bottom w:type="dxa" w:w="60"/>
              <w:right w:type="dxa" w:w="0"/>
            </w:tcMar>
          </w:tcPr>
          <w:p>
            <w:pPr>
              <w:spacing w:after="60" w:before="0"/>
              <w:jc w:val="left"/>
            </w:pPr>
            <w:r>
              <w:rPr>
                <w:rFonts w:ascii="Calibri" w:cs="Calibri" w:eastAsia="Calibri" w:hAnsi="Calibri"/>
                <w:b/>
                <w:bCs/>
                <w:i w:val="false"/>
                <w:iCs w:val="false"/>
                <w:caps/>
                <w:color w:val="1F2A2C"/>
                <w:sz w:val="22"/>
                <w:szCs w:val="22"/>
              </w:rPr>
              <w:t xml:space="preserve">AFRICAN RENAISSANCE TRUST</w:t>
            </w:r>
            <w:r>
              <w:rPr>
                <w:rFonts w:ascii="Calibri" w:cs="Calibri" w:eastAsia="Calibri" w:hAnsi="Calibri"/>
                <w:b w:val="false"/>
                <w:bCs w:val="false"/>
                <w:i w:val="false"/>
                <w:iCs w:val="false"/>
                <w:caps w:val="false"/>
                <w:color w:val="5B5B5B"/>
                <w:sz w:val="22"/>
                <w:szCs w:val="22"/>
              </w:rPr>
              <w:t xml:space="preserve">   ·   </w:t>
            </w:r>
            <w:r>
              <w:rPr>
                <w:rFonts w:ascii="Calibri" w:cs="Calibri" w:eastAsia="Calibri" w:hAnsi="Calibri"/>
                <w:b/>
                <w:bCs/>
                <w:i w:val="false"/>
                <w:iCs w:val="false"/>
                <w:caps/>
                <w:color w:val="5B5B5B"/>
                <w:sz w:val="22"/>
                <w:szCs w:val="22"/>
              </w:rPr>
              <w:t xml:space="preserve">INSTITUTIONAL BRIEFING</w:t>
            </w:r>
            <w:r>
              <w:rPr>
                <w:rFonts w:ascii="Calibri" w:cs="Calibri" w:eastAsia="Calibri" w:hAnsi="Calibri"/>
                <w:b w:val="false"/>
                <w:bCs w:val="false"/>
                <w:i w:val="false"/>
                <w:iCs w:val="false"/>
                <w:caps w:val="false"/>
                <w:color w:val="5B5B5B"/>
                <w:sz w:val="22"/>
                <w:szCs w:val="22"/>
              </w:rPr>
              <w:t xml:space="preserve">   ·   </w:t>
            </w:r>
            <w:r>
              <w:rPr>
                <w:rFonts w:ascii="Calibri" w:cs="Calibri" w:eastAsia="Calibri" w:hAnsi="Calibri"/>
                <w:b/>
                <w:bCs/>
                <w:i w:val="false"/>
                <w:iCs w:val="false"/>
                <w:caps w:val="false"/>
                <w:color w:val="944454"/>
                <w:sz w:val="22"/>
                <w:szCs w:val="22"/>
              </w:rPr>
              <w:t xml:space="preserve">No. 20/36</w:t>
            </w:r>
          </w:p>
          <w:p>
            <w:pPr>
              <w:spacing w:after="80" w:before="0"/>
              <w:jc w:val="left"/>
            </w:pPr>
            <w:r>
              <w:rPr>
                <w:rFonts w:ascii="Calibri" w:cs="Calibri" w:eastAsia="Calibri" w:hAnsi="Calibri"/>
                <w:b/>
                <w:bCs/>
                <w:i w:val="false"/>
                <w:iCs w:val="false"/>
                <w:caps/>
                <w:color w:val="944454"/>
                <w:sz w:val="18"/>
                <w:szCs w:val="18"/>
              </w:rPr>
              <w:t xml:space="preserve">GENDER EQUALITY</w:t>
            </w:r>
            <w:r>
              <w:rPr>
                <w:rFonts w:ascii="Calibri" w:cs="Calibri" w:eastAsia="Calibri" w:hAnsi="Calibri"/>
                <w:b w:val="false"/>
                <w:bCs w:val="false"/>
                <w:i w:val="false"/>
                <w:iCs w:val="false"/>
                <w:caps w:val="false"/>
                <w:color w:val="5B5B5B"/>
                <w:sz w:val="18"/>
                <w:szCs w:val="18"/>
              </w:rPr>
              <w:t xml:space="preserve">   |   </w:t>
            </w:r>
            <w:r>
              <w:rPr>
                <w:rFonts w:ascii="Calibri" w:cs="Calibri" w:eastAsia="Calibri" w:hAnsi="Calibri"/>
                <w:b w:val="false"/>
                <w:bCs w:val="false"/>
                <w:i/>
                <w:iCs/>
                <w:caps w:val="false"/>
                <w:color w:val="5B5B5B"/>
                <w:sz w:val="18"/>
                <w:szCs w:val="18"/>
              </w:rPr>
              <w:t xml:space="preserve">Rights · Representation · Decision-Making Architecture</w:t>
            </w:r>
          </w:p>
        </w:tc>
      </w:tr>
    </w:tbl>
    <w:p>
      <w:pPr>
        <w:spacing w:after="40" w:before="0"/>
        <w:jc w:val="left"/>
      </w:pPr>
      <w:r>
        <w:rPr>
          <w:rFonts w:ascii="Calibri" w:cs="Calibri" w:eastAsia="Calibri" w:hAnsi="Calibri"/>
          <w:b w:val="false"/>
          <w:bCs w:val="false"/>
          <w:i w:val="false"/>
          <w:iCs w:val="false"/>
          <w:caps w:val="false"/>
          <w:color w:val="28251D"/>
          <w:sz w:val="8"/>
          <w:szCs w:val="8"/>
        </w:rPr>
        <w:t xml:space="preserve"> </w:t>
      </w:r>
    </w:p>
    <w:tbl>
      <w:tblPr>
        <w:tblW w:type="dxa" w:w="9648"/>
        <w:tblBorders>
          <w:top w:val="single" w:color="auto" w:sz="4"/>
          <w:left w:val="single" w:color="auto" w:sz="4"/>
          <w:bottom w:val="single" w:color="auto" w:sz="4"/>
          <w:right w:val="single" w:color="auto" w:sz="4"/>
          <w:insideH w:val="single" w:color="auto" w:sz="4"/>
          <w:insideV w:val="single" w:color="auto" w:sz="4"/>
        </w:tblBorders>
      </w:tblPr>
      <w:tblGrid>
        <w:gridCol w:w="9648"/>
      </w:tblGrid>
      <w:tr>
        <w:trPr>
          <w:trHeight w:val="2592" w:hRule="atLeast"/>
        </w:trPr>
        <w:tc>
          <w:tcPr>
            <w:tcW w:type="dxa" w:w="9648"/>
            <w:tcBorders>
              <w:top w:val="dashed" w:color="D4D1CA" w:sz="6"/>
              <w:left w:val="dashed" w:color="D4D1CA" w:sz="6"/>
              <w:bottom w:val="dashed" w:color="D4D1CA" w:sz="6"/>
              <w:right w:val="dashed" w:color="D4D1CA" w:sz="6"/>
            </w:tcBorders>
            <w:shd w:fill="EFE9DA" w:val="clear"/>
            <w:tcMar>
              <w:top w:type="dxa" w:w="240"/>
              <w:left w:type="dxa" w:w="240"/>
              <w:bottom w:type="dxa" w:w="240"/>
              <w:right w:type="dxa" w:w="240"/>
            </w:tcMar>
            <w:vAlign w:val="center"/>
          </w:tcPr>
          <w:p>
            <w:pPr>
              <w:spacing w:after="40" w:before="0"/>
              <w:jc w:val="center"/>
            </w:pPr>
            <w:r>
              <w:rPr>
                <w:rFonts w:ascii="Calibri" w:cs="Calibri" w:eastAsia="Calibri" w:hAnsi="Calibri"/>
                <w:b/>
                <w:bCs/>
                <w:i w:val="false"/>
                <w:iCs w:val="false"/>
                <w:caps/>
                <w:color w:val="5B5B5B"/>
                <w:sz w:val="24"/>
                <w:szCs w:val="24"/>
              </w:rPr>
              <w:t xml:space="preserve">THUMBNAIL IMAGE</w:t>
            </w:r>
          </w:p>
          <w:p>
            <w:pPr>
              <w:spacing w:after="20" w:before="0"/>
              <w:jc w:val="center"/>
            </w:pPr>
            <w:r>
              <w:rPr>
                <w:rFonts w:ascii="Calibri" w:cs="Calibri" w:eastAsia="Calibri" w:hAnsi="Calibri"/>
                <w:b w:val="false"/>
                <w:bCs w:val="false"/>
                <w:i/>
                <w:iCs/>
                <w:caps w:val="false"/>
                <w:color w:val="5B5B5B"/>
                <w:sz w:val="18"/>
                <w:szCs w:val="18"/>
              </w:rPr>
              <w:t xml:space="preserve">Replace this placeholder with the featured image (1200 × 675 px recommended, 16:9).</w:t>
            </w:r>
          </w:p>
          <w:p>
            <w:pPr>
              <w:spacing w:after="0" w:before="0"/>
              <w:jc w:val="center"/>
            </w:pPr>
            <w:r>
              <w:rPr>
                <w:rFonts w:ascii="Calibri" w:cs="Calibri" w:eastAsia="Calibri" w:hAnsi="Calibri"/>
                <w:b w:val="false"/>
                <w:bCs w:val="false"/>
                <w:i w:val="false"/>
                <w:iCs w:val="false"/>
                <w:caps w:val="false"/>
                <w:color w:val="5B5B5B"/>
                <w:sz w:val="16"/>
                <w:szCs w:val="16"/>
              </w:rPr>
              <w:t xml:space="preserve">For WordPress upload: set the same image as the post Featured Image.</w:t>
            </w:r>
          </w:p>
        </w:tc>
      </w:tr>
    </w:tbl>
    <w:p>
      <w:pPr>
        <w:spacing w:after="80" w:before="280" w:line="280"/>
        <w:jc w:val="left"/>
      </w:pPr>
      <w:r>
        <w:rPr>
          <w:rFonts w:ascii="Calibri" w:cs="Calibri" w:eastAsia="Calibri" w:hAnsi="Calibri"/>
          <w:b/>
          <w:bCs/>
          <w:i w:val="false"/>
          <w:iCs w:val="false"/>
          <w:caps w:val="false"/>
          <w:color w:val="1F2A2C"/>
          <w:sz w:val="44"/>
          <w:szCs w:val="44"/>
        </w:rPr>
        <w:t xml:space="preserve">Gender Equity at the Decision Table</w:t>
      </w:r>
    </w:p>
    <w:p>
      <w:pPr>
        <w:spacing w:after="200" w:before="0" w:line="300"/>
        <w:jc w:val="left"/>
      </w:pPr>
      <w:r>
        <w:rPr>
          <w:rFonts w:ascii="Calibri" w:cs="Calibri" w:eastAsia="Calibri" w:hAnsi="Calibri"/>
          <w:b w:val="false"/>
          <w:bCs w:val="false"/>
          <w:i/>
          <w:iCs/>
          <w:caps w:val="false"/>
          <w:color w:val="944454"/>
          <w:sz w:val="24"/>
          <w:szCs w:val="24"/>
        </w:rPr>
        <w:t xml:space="preserve">Two breakfast meetings, one convention, and $2.5 billion reshaped Africa's gender architecture</w:t>
      </w:r>
    </w:p>
    <w:p>
      <w:pPr>
        <w:pBdr>
          <w:bottom w:val="single" w:color="D4D1CA" w:sz="4" w:space="1"/>
        </w:pBdr>
        <w:spacing w:after="200" w:before="0"/>
      </w:pPr>
      <w:r>
        <w:t xml:space="preserve"> </w:t>
      </w:r>
    </w:p>
    <w:tbl>
      <w:tblPr>
        <w:tblW w:type="dxa" w:w="9648"/>
        <w:tblBorders>
          <w:top w:val="single" w:color="auto" w:sz="4"/>
          <w:left w:val="single" w:color="auto" w:sz="4"/>
          <w:bottom w:val="single" w:color="auto" w:sz="4"/>
          <w:right w:val="single" w:color="auto" w:sz="4"/>
          <w:insideH w:val="single" w:color="auto" w:sz="4"/>
          <w:insideV w:val="single" w:color="auto" w:sz="4"/>
        </w:tblBorders>
      </w:tblPr>
      <w:tblGrid>
        <w:gridCol w:w="3216"/>
        <w:gridCol w:w="3216"/>
        <w:gridCol w:w="3216"/>
      </w:tblGrid>
      <w:tr>
        <w:tc>
          <w:tcPr>
            <w:tcBorders>
              <w:top w:val="none" w:color="FFFFFF" w:sz="0"/>
              <w:left w:val="none" w:color="FFFFFF" w:sz="0"/>
              <w:bottom w:val="none" w:color="FFFFFF" w:sz="0"/>
              <w:right w:val="none" w:color="FFFFFF" w:sz="0"/>
            </w:tcBorders>
            <w:shd w:fill="F4F0E6" w:val="clear"/>
            <w:tcMar>
              <w:top w:type="dxa" w:w="100"/>
              <w:left w:type="dxa" w:w="140"/>
              <w:bottom w:type="dxa" w:w="100"/>
              <w:right w:type="dxa" w:w="140"/>
            </w:tcMar>
          </w:tcPr>
          <w:p>
            <w:pPr>
              <w:spacing w:after="20" w:before="0"/>
              <w:jc w:val="left"/>
            </w:pPr>
            <w:r>
              <w:rPr>
                <w:rFonts w:ascii="Calibri" w:cs="Calibri" w:eastAsia="Calibri" w:hAnsi="Calibri"/>
                <w:b/>
                <w:bCs/>
                <w:i w:val="false"/>
                <w:iCs w:val="false"/>
                <w:caps/>
                <w:color w:val="5B5B5B"/>
                <w:sz w:val="14"/>
                <w:szCs w:val="14"/>
              </w:rPr>
              <w:t xml:space="preserve">SERIES</w:t>
            </w:r>
          </w:p>
          <w:p>
            <w:pPr>
              <w:spacing w:after="0" w:before="0"/>
              <w:jc w:val="left"/>
            </w:pPr>
            <w:r>
              <w:rPr>
                <w:rFonts w:ascii="Calibri" w:cs="Calibri" w:eastAsia="Calibri" w:hAnsi="Calibri"/>
                <w:b w:val="false"/>
                <w:bCs w:val="false"/>
                <w:i w:val="false"/>
                <w:iCs w:val="false"/>
                <w:caps w:val="false"/>
                <w:color w:val="28251D"/>
                <w:sz w:val="17"/>
                <w:szCs w:val="17"/>
              </w:rPr>
              <w:t xml:space="preserve">AU Intelligence · 36-Brief Series</w:t>
            </w:r>
          </w:p>
        </w:tc>
        <w:tc>
          <w:tcPr>
            <w:tcBorders>
              <w:top w:val="none" w:color="FFFFFF" w:sz="0"/>
              <w:left w:val="none" w:color="FFFFFF" w:sz="0"/>
              <w:bottom w:val="none" w:color="FFFFFF" w:sz="0"/>
              <w:right w:val="none" w:color="FFFFFF" w:sz="0"/>
            </w:tcBorders>
            <w:shd w:fill="F4F0E6" w:val="clear"/>
            <w:tcMar>
              <w:top w:type="dxa" w:w="100"/>
              <w:left w:type="dxa" w:w="140"/>
              <w:bottom w:type="dxa" w:w="100"/>
              <w:right w:type="dxa" w:w="140"/>
            </w:tcMar>
          </w:tcPr>
          <w:p>
            <w:pPr>
              <w:spacing w:after="20" w:before="0"/>
              <w:jc w:val="left"/>
            </w:pPr>
            <w:r>
              <w:rPr>
                <w:rFonts w:ascii="Calibri" w:cs="Calibri" w:eastAsia="Calibri" w:hAnsi="Calibri"/>
                <w:b/>
                <w:bCs/>
                <w:i w:val="false"/>
                <w:iCs w:val="false"/>
                <w:caps/>
                <w:color w:val="5B5B5B"/>
                <w:sz w:val="14"/>
                <w:szCs w:val="14"/>
              </w:rPr>
              <w:t xml:space="preserve">AUDIENCE</w:t>
            </w:r>
          </w:p>
          <w:p>
            <w:pPr>
              <w:spacing w:after="0" w:before="0"/>
              <w:jc w:val="left"/>
            </w:pPr>
            <w:r>
              <w:rPr>
                <w:rFonts w:ascii="Calibri" w:cs="Calibri" w:eastAsia="Calibri" w:hAnsi="Calibri"/>
                <w:b w:val="false"/>
                <w:bCs w:val="false"/>
                <w:i w:val="false"/>
                <w:iCs w:val="false"/>
                <w:caps w:val="false"/>
                <w:color w:val="28251D"/>
                <w:sz w:val="17"/>
                <w:szCs w:val="17"/>
              </w:rPr>
              <w:t xml:space="preserve">Donor desks · Parliamentary committees · Ministerial offices</w:t>
            </w:r>
          </w:p>
        </w:tc>
        <w:tc>
          <w:tcPr>
            <w:tcBorders>
              <w:top w:val="none" w:color="FFFFFF" w:sz="0"/>
              <w:left w:val="none" w:color="FFFFFF" w:sz="0"/>
              <w:bottom w:val="none" w:color="FFFFFF" w:sz="0"/>
              <w:right w:val="none" w:color="FFFFFF" w:sz="0"/>
            </w:tcBorders>
            <w:shd w:fill="F4F0E6" w:val="clear"/>
            <w:tcMar>
              <w:top w:type="dxa" w:w="100"/>
              <w:left w:type="dxa" w:w="140"/>
              <w:bottom w:type="dxa" w:w="100"/>
              <w:right w:type="dxa" w:w="140"/>
            </w:tcMar>
          </w:tcPr>
          <w:p>
            <w:pPr>
              <w:spacing w:after="20" w:before="0"/>
              <w:jc w:val="left"/>
            </w:pPr>
            <w:r>
              <w:rPr>
                <w:rFonts w:ascii="Calibri" w:cs="Calibri" w:eastAsia="Calibri" w:hAnsi="Calibri"/>
                <w:b/>
                <w:bCs/>
                <w:i w:val="false"/>
                <w:iCs w:val="false"/>
                <w:caps/>
                <w:color w:val="5B5B5B"/>
                <w:sz w:val="14"/>
                <w:szCs w:val="14"/>
              </w:rPr>
              <w:t xml:space="preserve">FORMAT</w:t>
            </w:r>
          </w:p>
          <w:p>
            <w:pPr>
              <w:spacing w:after="0" w:before="0"/>
              <w:jc w:val="left"/>
            </w:pPr>
            <w:r>
              <w:rPr>
                <w:rFonts w:ascii="Calibri" w:cs="Calibri" w:eastAsia="Calibri" w:hAnsi="Calibri"/>
                <w:b w:val="false"/>
                <w:bCs w:val="false"/>
                <w:i w:val="false"/>
                <w:iCs w:val="false"/>
                <w:caps w:val="false"/>
                <w:color w:val="28251D"/>
                <w:sz w:val="17"/>
                <w:szCs w:val="17"/>
              </w:rPr>
              <w:t xml:space="preserve">One-page institutional briefing · Tabling-ready</w:t>
            </w:r>
          </w:p>
        </w:tc>
      </w:tr>
    </w:tbl>
    <w:p>
      <w:pPr>
        <w:spacing w:after="60" w:before="0"/>
        <w:jc w:val="left"/>
      </w:pPr>
      <w:r>
        <w:rPr>
          <w:rFonts w:ascii="Calibri" w:cs="Calibri" w:eastAsia="Calibri" w:hAnsi="Calibri"/>
          <w:b w:val="false"/>
          <w:bCs w:val="false"/>
          <w:i w:val="false"/>
          <w:iCs w:val="false"/>
          <w:caps w:val="false"/>
          <w:color w:val="28251D"/>
          <w:sz w:val="8"/>
          <w:szCs w:val="8"/>
        </w:rPr>
        <w:t xml:space="preserve"> </w:t>
      </w:r>
    </w:p>
    <w:p>
      <w:pPr>
        <w:pBdr>
          <w:left w:val="single" w:color="944454" w:sz="18" w:space="12"/>
        </w:pBdr>
        <w:spacing w:after="160" w:before="120" w:line="320"/>
        <w:ind w:left="200"/>
      </w:pPr>
      <w:r>
        <w:rPr>
          <w:rFonts w:ascii="Calibri" w:cs="Calibri" w:eastAsia="Calibri" w:hAnsi="Calibri"/>
          <w:b w:val="false"/>
          <w:bCs w:val="false"/>
          <w:i w:val="false"/>
          <w:iCs w:val="false"/>
          <w:caps w:val="false"/>
          <w:color w:val="28251D"/>
          <w:sz w:val="23"/>
          <w:szCs w:val="23"/>
        </w:rPr>
        <w:t xml:space="preserve">On February 13, 2026, at 7:30 AM in a conference room at AU headquarters, former Presidents Ellen Johnson Sirleaf and Olusegun Obasanjo co-hosted the 9th Eminent Women for Africa and African Women Leaders Network breakfast on empowering women in agriculture. Down the corridor, the Women, Gender, and Youth Directorate was organising a parallel session on financing and reaffirming Africa's gender commitments under AU Gender Champion President Mahama of Ghana.</w:t>
      </w:r>
    </w:p>
    <w:p>
      <w:pPr>
        <w:spacing w:after="140" w:before="100" w:line="300"/>
        <w:jc w:val="left"/>
      </w:pPr>
      <w:r>
        <w:rPr>
          <w:rFonts w:ascii="Calibri" w:cs="Calibri" w:eastAsia="Calibri" w:hAnsi="Calibri"/>
          <w:b w:val="false"/>
          <w:bCs w:val="false"/>
          <w:i w:val="false"/>
          <w:iCs w:val="false"/>
          <w:caps w:val="false"/>
          <w:color w:val="28251D"/>
          <w:sz w:val="21"/>
          <w:szCs w:val="21"/>
        </w:rPr>
        <w:t xml:space="preserve">Two breakfast meetings on the same morning, addressing different dimensions of the same structural challenge: women constitute the majority of Africa's agricultural workforce, the majority of its community health workers, and the majority of its informal economy participants, yet remain systematically underrepresented in the decision architectures that govern agriculture, health, and trade policy.</w:t>
      </w:r>
    </w:p>
    <w:p>
      <w:pPr>
        <w:spacing w:after="140" w:before="100" w:line="300"/>
        <w:jc w:val="left"/>
      </w:pPr>
      <w:r>
        <w:rPr>
          <w:rFonts w:ascii="Calibri" w:cs="Calibri" w:eastAsia="Calibri" w:hAnsi="Calibri"/>
          <w:b w:val="false"/>
          <w:bCs w:val="false"/>
          <w:i w:val="false"/>
          <w:iCs w:val="false"/>
          <w:caps w:val="false"/>
          <w:color w:val="28251D"/>
          <w:sz w:val="21"/>
          <w:szCs w:val="21"/>
        </w:rPr>
        <w:t xml:space="preserve">The institutional progress is real. The Convention on Ending Violence Against Women and Girls was adopted in 2025 after years of sustained advocacy. This is treaty law — binding on ratifying states, creating reporting obligations, and establishing enforcement mechanisms. The Positive Masculinity Presidential Initiative, co-created within ART's directorate engagement, was walked from concept to Assembly adoption. The Gender Mainstreaming Framework developed by the Gender Coordination Forum for Gender Equality provides the operational architecture through which every AU department must demonstrate how its programmes address gender dimensions.</w:t>
      </w:r>
    </w:p>
    <w:p>
      <w:pPr>
        <w:spacing w:after="140" w:before="100" w:line="300"/>
        <w:jc w:val="left"/>
      </w:pPr>
      <w:r>
        <w:rPr>
          <w:rFonts w:ascii="Calibri" w:cs="Calibri" w:eastAsia="Calibri" w:hAnsi="Calibri"/>
          <w:b w:val="false"/>
          <w:bCs w:val="false"/>
          <w:i w:val="false"/>
          <w:iCs w:val="false"/>
          <w:caps w:val="false"/>
          <w:color w:val="28251D"/>
          <w:sz w:val="21"/>
          <w:szCs w:val="21"/>
        </w:rPr>
        <w:t xml:space="preserve">The philanthropic and bilateral funders's $2.5 billion women's health R&amp;D commitment intersects directly with this continental architecture. The commitment targets research and development for health challenges disproportionately affecting women — maternal mortality, cervical cancer, contraceptive access, and nutritional interventions. But R&amp;D outcomes only reach women if the policy environment ensures access, affordability, and gender-responsive service delivery.</w:t>
      </w:r>
    </w:p>
    <w:p>
      <w:pPr>
        <w:spacing w:after="140" w:before="100" w:line="300"/>
        <w:jc w:val="left"/>
      </w:pPr>
      <w:r>
        <w:rPr>
          <w:rFonts w:ascii="Calibri" w:cs="Calibri" w:eastAsia="Calibri" w:hAnsi="Calibri"/>
          <w:b w:val="false"/>
          <w:bCs w:val="false"/>
          <w:i w:val="false"/>
          <w:iCs w:val="false"/>
          <w:caps w:val="false"/>
          <w:color w:val="28251D"/>
          <w:sz w:val="21"/>
          <w:szCs w:val="21"/>
        </w:rPr>
        <w:t xml:space="preserve">That policy environment is built at the AU. When the Convention on Ending Violence Against Women and Girls creates legal obligations for gender-responsive health services, it creates the institutional demand for the products the donor community's R&amp;D investments produce. When the Gender Mainstreaming Framework requires health departments to track gender-disaggregated outcomes, it creates the reporting infrastructure that demonstrates whether donor-supported innovations are reaching women.</w:t>
      </w:r>
    </w:p>
    <w:p>
      <w:pPr>
        <w:spacing w:after="140" w:before="100" w:line="300"/>
        <w:jc w:val="left"/>
      </w:pPr>
      <w:r>
        <w:rPr>
          <w:rFonts w:ascii="Calibri" w:cs="Calibri" w:eastAsia="Calibri" w:hAnsi="Calibri"/>
          <w:b w:val="false"/>
          <w:bCs w:val="false"/>
          <w:i w:val="false"/>
          <w:iCs w:val="false"/>
          <w:caps w:val="false"/>
          <w:color w:val="28251D"/>
          <w:sz w:val="21"/>
          <w:szCs w:val="21"/>
        </w:rPr>
        <w:t xml:space="preserve">The connection between the donor community's R&amp;D pipeline and the AU's gender accountability framework is not automatic. It must be engineered — product by product, policy by policy, country by country.</w:t>
      </w:r>
    </w:p>
    <w:p>
      <w:pPr>
        <w:spacing w:after="60" w:before="100"/>
        <w:jc w:val="left"/>
      </w:pPr>
      <w:r>
        <w:rPr>
          <w:rFonts w:ascii="Calibri" w:cs="Calibri" w:eastAsia="Calibri" w:hAnsi="Calibri"/>
          <w:b w:val="false"/>
          <w:bCs w:val="false"/>
          <w:i w:val="false"/>
          <w:iCs w:val="false"/>
          <w:caps w:val="false"/>
          <w:color w:val="28251D"/>
          <w:sz w:val="8"/>
          <w:szCs w:val="8"/>
        </w:rPr>
        <w:t xml:space="preserve"> </w:t>
      </w:r>
    </w:p>
    <w:tbl>
      <w:tblPr>
        <w:tblW w:type="dxa" w:w="9648"/>
        <w:tblBorders>
          <w:top w:val="single" w:color="auto" w:sz="4"/>
          <w:left w:val="single" w:color="auto" w:sz="4"/>
          <w:bottom w:val="single" w:color="auto" w:sz="4"/>
          <w:right w:val="single" w:color="auto" w:sz="4"/>
          <w:insideH w:val="single" w:color="auto" w:sz="4"/>
          <w:insideV w:val="single" w:color="auto" w:sz="4"/>
        </w:tblBorders>
      </w:tblPr>
      <w:tblGrid>
        <w:gridCol w:w="9648"/>
      </w:tblGrid>
      <w:tr>
        <w:tc>
          <w:tcPr>
            <w:tcW w:type="dxa" w:w="9648"/>
            <w:tcBorders>
              <w:top w:val="single" w:color="00696F" w:sz="6"/>
              <w:left w:val="single" w:color="00696F" w:sz="18"/>
              <w:bottom w:val="single" w:color="00696F" w:sz="6"/>
              <w:right w:val="single" w:color="00696F" w:sz="6"/>
            </w:tcBorders>
            <w:shd w:fill="E9F2F2" w:val="clear"/>
            <w:tcMar>
              <w:top w:type="dxa" w:w="200"/>
              <w:left w:type="dxa" w:w="240"/>
              <w:bottom w:type="dxa" w:w="200"/>
              <w:right w:type="dxa" w:w="240"/>
            </w:tcMar>
          </w:tcPr>
          <w:p>
            <w:pPr>
              <w:spacing w:after="60" w:before="0"/>
              <w:jc w:val="left"/>
            </w:pPr>
            <w:r>
              <w:rPr>
                <w:rFonts w:ascii="Calibri" w:cs="Calibri" w:eastAsia="Calibri" w:hAnsi="Calibri"/>
                <w:b/>
                <w:bCs/>
                <w:i w:val="false"/>
                <w:iCs w:val="false"/>
                <w:caps/>
                <w:color w:val="00696F"/>
                <w:sz w:val="18"/>
                <w:szCs w:val="18"/>
              </w:rPr>
              <w:t xml:space="preserve">ART INSIGHT — Institutional Read</w:t>
            </w:r>
          </w:p>
          <w:p>
            <w:pPr>
              <w:spacing w:after="0" w:before="0" w:line="290"/>
              <w:jc w:val="left"/>
            </w:pPr>
            <w:r>
              <w:rPr>
                <w:rFonts w:ascii="Calibri" w:cs="Calibri" w:eastAsia="Calibri" w:hAnsi="Calibri"/>
                <w:b w:val="false"/>
                <w:bCs w:val="false"/>
                <w:i w:val="false"/>
                <w:iCs w:val="false"/>
                <w:caps w:val="false"/>
                <w:color w:val="28251D"/>
                <w:sz w:val="20"/>
                <w:szCs w:val="20"/>
              </w:rPr>
              <w:t xml:space="preserve">ART's gender mainstreaming work — from the Positive Masculinity Presidential Initiative to the Gender Coordination Forum's framework — demonstrates that gender equity is not a parallel workstream but an integrated dimension of every AU policy process ART supports. ART walked the Convention from drafting to adoption.</w:t>
            </w:r>
          </w:p>
        </w:tc>
      </w:tr>
    </w:tbl>
    <w:p>
      <w:pPr>
        <w:spacing w:after="60" w:before="80"/>
        <w:jc w:val="left"/>
      </w:pPr>
      <w:r>
        <w:rPr>
          <w:rFonts w:ascii="Calibri" w:cs="Calibri" w:eastAsia="Calibri" w:hAnsi="Calibri"/>
          <w:b w:val="false"/>
          <w:bCs w:val="false"/>
          <w:i w:val="false"/>
          <w:iCs w:val="false"/>
          <w:caps w:val="false"/>
          <w:color w:val="28251D"/>
          <w:sz w:val="8"/>
          <w:szCs w:val="8"/>
        </w:rPr>
        <w:t xml:space="preserve"> </w:t>
      </w:r>
    </w:p>
    <w:tbl>
      <w:tblPr>
        <w:tblW w:type="dxa" w:w="9648"/>
        <w:tblBorders>
          <w:top w:val="single" w:color="auto" w:sz="4"/>
          <w:left w:val="single" w:color="auto" w:sz="4"/>
          <w:bottom w:val="single" w:color="auto" w:sz="4"/>
          <w:right w:val="single" w:color="auto" w:sz="4"/>
          <w:insideH w:val="single" w:color="auto" w:sz="4"/>
          <w:insideV w:val="single" w:color="auto" w:sz="4"/>
        </w:tblBorders>
      </w:tblPr>
      <w:tblGrid>
        <w:gridCol w:w="9648"/>
      </w:tblGrid>
      <w:tr>
        <w:tc>
          <w:tcPr>
            <w:tcW w:type="dxa" w:w="9648"/>
            <w:tcBorders>
              <w:top w:val="single" w:color="BC8B2C" w:sz="6"/>
              <w:left w:val="single" w:color="BC8B2C" w:sz="18"/>
              <w:bottom w:val="single" w:color="BC8B2C" w:sz="6"/>
              <w:right w:val="single" w:color="BC8B2C" w:sz="6"/>
            </w:tcBorders>
            <w:shd w:fill="F7F0DC" w:val="clear"/>
            <w:tcMar>
              <w:top w:type="dxa" w:w="200"/>
              <w:left w:type="dxa" w:w="240"/>
              <w:bottom w:type="dxa" w:w="200"/>
              <w:right w:type="dxa" w:w="240"/>
            </w:tcMar>
          </w:tcPr>
          <w:p>
            <w:pPr>
              <w:spacing w:after="60" w:before="0"/>
              <w:jc w:val="left"/>
            </w:pPr>
            <w:r>
              <w:rPr>
                <w:rFonts w:ascii="Calibri" w:cs="Calibri" w:eastAsia="Calibri" w:hAnsi="Calibri"/>
                <w:b/>
                <w:bCs/>
                <w:i w:val="false"/>
                <w:iCs w:val="false"/>
                <w:caps/>
                <w:color w:val="BC8B2C"/>
                <w:sz w:val="18"/>
                <w:szCs w:val="18"/>
              </w:rPr>
              <w:t xml:space="preserve">DONOR RELEVANCE — Decision Implication</w:t>
            </w:r>
          </w:p>
          <w:p>
            <w:pPr>
              <w:spacing w:after="0" w:before="0" w:line="290"/>
              <w:jc w:val="left"/>
            </w:pPr>
            <w:r>
              <w:rPr>
                <w:rFonts w:ascii="Calibri" w:cs="Calibri" w:eastAsia="Calibri" w:hAnsi="Calibri"/>
                <w:b w:val="false"/>
                <w:bCs w:val="false"/>
                <w:i w:val="false"/>
                <w:iCs w:val="false"/>
                <w:caps w:val="false"/>
                <w:color w:val="28251D"/>
                <w:sz w:val="20"/>
                <w:szCs w:val="20"/>
              </w:rPr>
              <w:t xml:space="preserve">For donors, the Maputo Protocol, the Gender Coordination Forum, and the $2.5 billion African Women’s Investment Fund are the new gender-equity instruments. Capital that runs through these frameworks becomes legible at the AU Assembly and visible in continental scorecards.</w:t>
            </w:r>
          </w:p>
        </w:tc>
      </w:tr>
    </w:tbl>
    <w:p>
      <w:pPr>
        <w:spacing w:after="60" w:before="240"/>
        <w:jc w:val="left"/>
      </w:pPr>
      <w:r>
        <w:rPr>
          <w:rFonts w:ascii="Calibri" w:cs="Calibri" w:eastAsia="Calibri" w:hAnsi="Calibri"/>
          <w:b/>
          <w:bCs/>
          <w:i w:val="false"/>
          <w:iCs w:val="false"/>
          <w:caps/>
          <w:color w:val="5B5B5B"/>
          <w:sz w:val="18"/>
          <w:szCs w:val="18"/>
        </w:rPr>
        <w:t xml:space="preserve">AT-A-GLANCE ANALYTICS</w:t>
      </w:r>
    </w:p>
    <w:tbl>
      <w:tblPr>
        <w:tblW w:type="dxa" w:w="9648"/>
        <w:tblBorders>
          <w:top w:val="single" w:color="auto" w:sz="4"/>
          <w:left w:val="single" w:color="auto" w:sz="4"/>
          <w:bottom w:val="single" w:color="auto" w:sz="4"/>
          <w:right w:val="single" w:color="auto" w:sz="4"/>
          <w:insideH w:val="single" w:color="auto" w:sz="4"/>
          <w:insideV w:val="single" w:color="auto" w:sz="4"/>
        </w:tblBorders>
      </w:tblPr>
      <w:tblGrid>
        <w:gridCol w:w="3087"/>
        <w:gridCol w:w="6560"/>
      </w:tblGrid>
      <w:tr>
        <w:tc>
          <w:tcPr>
            <w:tcW w:type="dxa" w:w="3087"/>
            <w:tcBorders>
              <w:top w:val="single" w:color="1F2A2C" w:sz="18"/>
              <w:left w:val="none" w:color="FFFFFF" w:sz="0"/>
              <w:bottom w:val="single" w:color="D4D1CA" w:sz="4"/>
              <w:right w:val="single" w:color="D4D1CA" w:sz="4"/>
            </w:tcBorders>
            <w:shd w:fill="FFFFFF" w:val="clear"/>
            <w:tcMar>
              <w:top w:type="dxa" w:w="100"/>
              <w:left w:type="dxa" w:w="0"/>
              <w:bottom w:type="dxa" w:w="100"/>
              <w:right w:type="dxa" w:w="100"/>
            </w:tcMar>
          </w:tcPr>
          <w:p>
            <w:pPr>
              <w:spacing w:after="0" w:before="0"/>
              <w:jc w:val="left"/>
            </w:pPr>
            <w:r>
              <w:rPr>
                <w:rFonts w:ascii="Calibri" w:cs="Calibri" w:eastAsia="Calibri" w:hAnsi="Calibri"/>
                <w:b/>
                <w:bCs/>
                <w:i w:val="false"/>
                <w:iCs w:val="false"/>
                <w:caps/>
                <w:color w:val="5B5B5B"/>
                <w:sz w:val="18"/>
                <w:szCs w:val="18"/>
              </w:rPr>
              <w:t xml:space="preserve">Instruments</w:t>
            </w:r>
          </w:p>
        </w:tc>
        <w:tc>
          <w:tcPr>
            <w:tcW w:type="dxa" w:w="6560"/>
            <w:tcBorders>
              <w:top w:val="single" w:color="1F2A2C" w:sz="18"/>
              <w:left w:val="single" w:color="D4D1CA" w:sz="4"/>
              <w:bottom w:val="single" w:color="D4D1CA" w:sz="4"/>
              <w:right w:val="none" w:color="FFFFFF" w:sz="0"/>
            </w:tcBorders>
            <w:shd w:fill="FFFFFF" w:val="clear"/>
            <w:tcMar>
              <w:top w:type="dxa" w:w="100"/>
              <w:left w:type="dxa" w:w="140"/>
              <w:bottom w:type="dxa" w:w="100"/>
              <w:right w:type="dxa" w:w="0"/>
            </w:tcMar>
          </w:tcPr>
          <w:p>
            <w:pPr>
              <w:spacing w:after="0" w:before="0"/>
              <w:jc w:val="left"/>
            </w:pPr>
            <w:r>
              <w:rPr>
                <w:rFonts w:ascii="Calibri" w:cs="Calibri" w:eastAsia="Calibri" w:hAnsi="Calibri"/>
                <w:b w:val="false"/>
                <w:bCs w:val="false"/>
                <w:i w:val="false"/>
                <w:iCs w:val="false"/>
                <w:caps w:val="false"/>
                <w:color w:val="28251D"/>
                <w:sz w:val="19"/>
                <w:szCs w:val="19"/>
              </w:rPr>
              <w:t xml:space="preserve">Maputo Protocol · Gender Coordination Forum · $2.5 bn African Women’s Investment Fund</w:t>
            </w:r>
          </w:p>
        </w:tc>
      </w:tr>
      <w:tr>
        <w:tc>
          <w:tcPr>
            <w:tcW w:type="dxa" w:w="3087"/>
            <w:tcBorders>
              <w:top w:val="single" w:color="D4D1CA" w:sz="4"/>
              <w:left w:val="none" w:color="FFFFFF" w:sz="0"/>
              <w:bottom w:val="single" w:color="D4D1CA" w:sz="4"/>
              <w:right w:val="single" w:color="D4D1CA" w:sz="4"/>
            </w:tcBorders>
            <w:shd w:fill="FFFFFF" w:val="clear"/>
            <w:tcMar>
              <w:top w:type="dxa" w:w="100"/>
              <w:left w:type="dxa" w:w="0"/>
              <w:bottom w:type="dxa" w:w="100"/>
              <w:right w:type="dxa" w:w="100"/>
            </w:tcMar>
          </w:tcPr>
          <w:p>
            <w:pPr>
              <w:spacing w:after="0" w:before="0"/>
              <w:jc w:val="left"/>
            </w:pPr>
            <w:r>
              <w:rPr>
                <w:rFonts w:ascii="Calibri" w:cs="Calibri" w:eastAsia="Calibri" w:hAnsi="Calibri"/>
                <w:b/>
                <w:bCs/>
                <w:i w:val="false"/>
                <w:iCs w:val="false"/>
                <w:caps/>
                <w:color w:val="5B5B5B"/>
                <w:sz w:val="18"/>
                <w:szCs w:val="18"/>
              </w:rPr>
              <w:t xml:space="preserve">Convening moments</w:t>
            </w:r>
          </w:p>
        </w:tc>
        <w:tc>
          <w:tcPr>
            <w:tcW w:type="dxa" w:w="6560"/>
            <w:tcBorders>
              <w:top w:val="single" w:color="D4D1CA" w:sz="4"/>
              <w:left w:val="single" w:color="D4D1CA" w:sz="4"/>
              <w:bottom w:val="single" w:color="D4D1CA" w:sz="4"/>
              <w:right w:val="none" w:color="FFFFFF" w:sz="0"/>
            </w:tcBorders>
            <w:shd w:fill="FFFFFF" w:val="clear"/>
            <w:tcMar>
              <w:top w:type="dxa" w:w="100"/>
              <w:left w:type="dxa" w:w="140"/>
              <w:bottom w:type="dxa" w:w="100"/>
              <w:right w:type="dxa" w:w="0"/>
            </w:tcMar>
          </w:tcPr>
          <w:p>
            <w:pPr>
              <w:spacing w:after="0" w:before="0"/>
              <w:jc w:val="left"/>
            </w:pPr>
            <w:r>
              <w:rPr>
                <w:rFonts w:ascii="Calibri" w:cs="Calibri" w:eastAsia="Calibri" w:hAnsi="Calibri"/>
                <w:b w:val="false"/>
                <w:bCs w:val="false"/>
                <w:i w:val="false"/>
                <w:iCs w:val="false"/>
                <w:caps w:val="false"/>
                <w:color w:val="28251D"/>
                <w:sz w:val="19"/>
                <w:szCs w:val="19"/>
              </w:rPr>
              <w:t xml:space="preserve">Two AU Summit breakfast meetings reshaped continental gender architecture</w:t>
            </w:r>
          </w:p>
        </w:tc>
      </w:tr>
      <w:tr>
        <w:tc>
          <w:tcPr>
            <w:tcW w:type="dxa" w:w="3087"/>
            <w:tcBorders>
              <w:top w:val="single" w:color="D4D1CA" w:sz="4"/>
              <w:left w:val="none" w:color="FFFFFF" w:sz="0"/>
              <w:bottom w:val="single" w:color="1F2A2C" w:sz="18"/>
              <w:right w:val="single" w:color="D4D1CA" w:sz="4"/>
            </w:tcBorders>
            <w:shd w:fill="FFFFFF" w:val="clear"/>
            <w:tcMar>
              <w:top w:type="dxa" w:w="100"/>
              <w:left w:type="dxa" w:w="0"/>
              <w:bottom w:type="dxa" w:w="100"/>
              <w:right w:type="dxa" w:w="100"/>
            </w:tcMar>
          </w:tcPr>
          <w:p>
            <w:pPr>
              <w:spacing w:after="0" w:before="0"/>
              <w:jc w:val="left"/>
            </w:pPr>
            <w:r>
              <w:rPr>
                <w:rFonts w:ascii="Calibri" w:cs="Calibri" w:eastAsia="Calibri" w:hAnsi="Calibri"/>
                <w:b/>
                <w:bCs/>
                <w:i w:val="false"/>
                <w:iCs w:val="false"/>
                <w:caps/>
                <w:color w:val="5B5B5B"/>
                <w:sz w:val="18"/>
                <w:szCs w:val="18"/>
              </w:rPr>
              <w:t xml:space="preserve">Scorecard visibility</w:t>
            </w:r>
          </w:p>
        </w:tc>
        <w:tc>
          <w:tcPr>
            <w:tcW w:type="dxa" w:w="6560"/>
            <w:tcBorders>
              <w:top w:val="single" w:color="D4D1CA" w:sz="4"/>
              <w:left w:val="single" w:color="D4D1CA" w:sz="4"/>
              <w:bottom w:val="single" w:color="1F2A2C" w:sz="18"/>
              <w:right w:val="none" w:color="FFFFFF" w:sz="0"/>
            </w:tcBorders>
            <w:shd w:fill="FFFFFF" w:val="clear"/>
            <w:tcMar>
              <w:top w:type="dxa" w:w="100"/>
              <w:left w:type="dxa" w:w="140"/>
              <w:bottom w:type="dxa" w:w="100"/>
              <w:right w:type="dxa" w:w="0"/>
            </w:tcMar>
          </w:tcPr>
          <w:p>
            <w:pPr>
              <w:spacing w:after="0" w:before="0"/>
              <w:jc w:val="left"/>
            </w:pPr>
            <w:r>
              <w:rPr>
                <w:rFonts w:ascii="Calibri" w:cs="Calibri" w:eastAsia="Calibri" w:hAnsi="Calibri"/>
                <w:b w:val="false"/>
                <w:bCs w:val="false"/>
                <w:i w:val="false"/>
                <w:iCs w:val="false"/>
                <w:caps w:val="false"/>
                <w:color w:val="28251D"/>
                <w:sz w:val="19"/>
                <w:szCs w:val="19"/>
              </w:rPr>
              <w:t xml:space="preserve">Gender now an indicator inside continental scorecards</w:t>
            </w:r>
          </w:p>
        </w:tc>
      </w:tr>
    </w:tbl>
    <w:p>
      <w:pPr>
        <w:pBdr>
          <w:bottom w:val="single" w:color="944454" w:sz="12" w:space="1"/>
        </w:pBdr>
        <w:spacing w:after="100" w:before="200"/>
      </w:pPr>
      <w:r>
        <w:t xml:space="preserve"> </w:t>
      </w:r>
    </w:p>
    <w:p>
      <w:pPr>
        <w:spacing w:after="80" w:before="0"/>
        <w:jc w:val="left"/>
      </w:pPr>
      <w:r>
        <w:rPr>
          <w:rFonts w:ascii="Calibri" w:cs="Calibri" w:eastAsia="Calibri" w:hAnsi="Calibri"/>
          <w:b/>
          <w:bCs/>
          <w:i w:val="false"/>
          <w:iCs w:val="false"/>
          <w:caps/>
          <w:color w:val="5B5B5B"/>
          <w:sz w:val="14"/>
          <w:szCs w:val="14"/>
        </w:rPr>
        <w:t xml:space="preserve">SUGGESTED CITATION </w:t>
      </w:r>
      <w:r>
        <w:rPr>
          <w:rFonts w:ascii="Calibri" w:cs="Calibri" w:eastAsia="Calibri" w:hAnsi="Calibri"/>
          <w:b w:val="false"/>
          <w:bCs w:val="false"/>
          <w:i w:val="false"/>
          <w:iCs w:val="false"/>
          <w:caps w:val="false"/>
          <w:color w:val="5B5B5B"/>
          <w:sz w:val="14"/>
          <w:szCs w:val="14"/>
        </w:rPr>
        <w:t xml:space="preserve">— </w:t>
      </w:r>
      <w:r>
        <w:rPr>
          <w:rFonts w:ascii="Calibri" w:cs="Calibri" w:eastAsia="Calibri" w:hAnsi="Calibri"/>
          <w:b w:val="false"/>
          <w:bCs w:val="false"/>
          <w:i/>
          <w:iCs/>
          <w:caps w:val="false"/>
          <w:color w:val="5B5B5B"/>
          <w:sz w:val="14"/>
          <w:szCs w:val="14"/>
        </w:rPr>
        <w:t xml:space="preserve">African Renaissance Trust (2026). “Gender Equity at the Decision Table.” AU Intelligence Series, Institutional Briefing No. 20/36, GENDER EQUALITY pillar. Available at africanrenaissancetrust.org/insights.</w:t>
      </w:r>
    </w:p>
    <w:p>
      <w:pPr>
        <w:spacing w:after="0" w:before="0"/>
        <w:jc w:val="left"/>
      </w:pPr>
      <w:r>
        <w:rPr>
          <w:rFonts w:ascii="Calibri" w:cs="Calibri" w:eastAsia="Calibri" w:hAnsi="Calibri"/>
          <w:b/>
          <w:bCs/>
          <w:i w:val="false"/>
          <w:iCs w:val="false"/>
          <w:caps/>
          <w:color w:val="5B5B5B"/>
          <w:sz w:val="14"/>
          <w:szCs w:val="14"/>
        </w:rPr>
        <w:t xml:space="preserve">FILE METADATA </w:t>
      </w:r>
      <w:r>
        <w:rPr>
          <w:rFonts w:ascii="Calibri" w:cs="Calibri" w:eastAsia="Calibri" w:hAnsi="Calibri"/>
          <w:b w:val="false"/>
          <w:bCs w:val="false"/>
          <w:i w:val="false"/>
          <w:iCs w:val="false"/>
          <w:caps w:val="false"/>
          <w:color w:val="5B5B5B"/>
          <w:sz w:val="14"/>
          <w:szCs w:val="14"/>
        </w:rPr>
        <w:t xml:space="preserve">— </w:t>
      </w:r>
      <w:r>
        <w:rPr>
          <w:rFonts w:ascii="Calibri" w:cs="Calibri" w:eastAsia="Calibri" w:hAnsi="Calibri"/>
          <w:b w:val="false"/>
          <w:bCs w:val="false"/>
          <w:i w:val="false"/>
          <w:iCs w:val="false"/>
          <w:caps w:val="false"/>
          <w:color w:val="5B5B5B"/>
          <w:sz w:val="14"/>
          <w:szCs w:val="14"/>
        </w:rPr>
        <w:t xml:space="preserve">Slug: gender-equity-decision-table · Pillar cluster index: 3/10 · WordPress upload: Insights → Add New → Featured Image required.</w:t>
      </w:r>
    </w:p>
    <w:sectPr>
      <w:headerReference w:type="default" r:id="rId7"/>
      <w:footerReference w:type="default" r:id="rId8"/>
      <w:pgSz w:w="12240" w:h="15840" w:orient="portrait"/>
      <w:pgMar w:top="1296" w:right="1296" w:bottom="1296" w:left="1296"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spacing w:after="0" w:before="0"/>
      <w:jc w:val="center"/>
    </w:pPr>
    <w:r>
      <w:rPr>
        <w:rFonts w:ascii="Calibri" w:cs="Calibri" w:eastAsia="Calibri" w:hAnsi="Calibri"/>
        <w:b w:val="false"/>
        <w:bCs w:val="false"/>
        <w:i w:val="false"/>
        <w:iCs w:val="false"/>
        <w:caps w:val="false"/>
        <w:color w:val="5B5B5B"/>
        <w:sz w:val="14"/>
        <w:szCs w:val="14"/>
      </w:rPr>
      <w:t xml:space="preserve">© African Renaissance Trust 2026  ·  Institutional Briefing  ·  </w:t>
    </w:r>
    <w:r>
      <w:rPr>
        <w:rFonts w:ascii="Calibri" w:cs="Calibri" w:eastAsia="Calibri" w:hAnsi="Calibri"/>
        <w:color w:val="5B5B5B"/>
        <w:sz w:val="14"/>
        <w:szCs w:val="14"/>
      </w:rPr>
      <w:t xml:space="preserve">Brief </w:t>
      <w:fldChar w:fldCharType="begin"/>
      <w:instrText xml:space="preserve">PAGE</w:instrText>
      <w:fldChar w:fldCharType="separate"/>
      <w:fldChar w:fldCharType="end"/>
      <w:t xml:space="preserve"> / 36</w:t>
    </w:r>
    <w:r>
      <w:rPr>
        <w:rFonts w:ascii="Calibri" w:cs="Calibri" w:eastAsia="Calibri" w:hAnsi="Calibri"/>
        <w:b w:val="false"/>
        <w:bCs w:val="false"/>
        <w:i w:val="false"/>
        <w:iCs w:val="false"/>
        <w:caps w:val="false"/>
        <w:color w:val="5B5B5B"/>
        <w:sz w:val="14"/>
        <w:szCs w:val="14"/>
      </w:rPr>
      <w:t xml:space="preserve">  ·  insights.africanrenaissancetrust.org</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pPr>
      <w:spacing w:after="60" w:before="0"/>
      <w:jc w:val="left"/>
    </w:pPr>
    <w:r>
      <w:rPr>
        <w:rFonts w:ascii="Calibri" w:cs="Calibri" w:eastAsia="Calibri" w:hAnsi="Calibri"/>
        <w:b/>
        <w:bCs/>
        <w:i w:val="false"/>
        <w:iCs w:val="false"/>
        <w:caps/>
        <w:color w:val="1F2A2C"/>
        <w:sz w:val="16"/>
        <w:szCs w:val="16"/>
      </w:rPr>
      <w:t xml:space="preserve">AFRICAN RENAISSANCE TRUST</w:t>
    </w:r>
    <w:r>
      <w:rPr>
        <w:rFonts w:ascii="Calibri" w:cs="Calibri" w:eastAsia="Calibri" w:hAnsi="Calibri"/>
        <w:b w:val="false"/>
        <w:bCs w:val="false"/>
        <w:i w:val="false"/>
        <w:iCs w:val="false"/>
        <w:caps w:val="false"/>
        <w:color w:val="5B5B5B"/>
        <w:sz w:val="16"/>
        <w:szCs w:val="16"/>
      </w:rPr>
      <w:t xml:space="preserve">   ·   </w:t>
    </w:r>
    <w:r>
      <w:rPr>
        <w:rFonts w:ascii="Calibri" w:cs="Calibri" w:eastAsia="Calibri" w:hAnsi="Calibri"/>
        <w:b w:val="false"/>
        <w:bCs w:val="false"/>
        <w:i w:val="false"/>
        <w:iCs w:val="false"/>
        <w:caps/>
        <w:color w:val="5B5B5B"/>
        <w:sz w:val="16"/>
        <w:szCs w:val="16"/>
      </w:rPr>
      <w:t xml:space="preserve">AU INTELLIGENCE SERIES</w:t>
    </w:r>
    <w:r>
      <w:rPr>
        <w:rFonts w:ascii="Calibri" w:cs="Calibri" w:eastAsia="Calibri" w:hAnsi="Calibri"/>
        <w:b w:val="false"/>
        <w:bCs w:val="false"/>
        <w:i w:val="false"/>
        <w:iCs w:val="false"/>
        <w:caps w:val="false"/>
        <w:color w:val="5B5B5B"/>
        <w:sz w:val="16"/>
        <w:szCs w:val="16"/>
      </w:rPr>
      <w:t xml:space="preserve">   ·   </w:t>
    </w:r>
    <w:r>
      <w:rPr>
        <w:rFonts w:ascii="Calibri" w:cs="Calibri" w:eastAsia="Calibri" w:hAnsi="Calibri"/>
        <w:b/>
        <w:bCs/>
        <w:i w:val="false"/>
        <w:iCs w:val="false"/>
        <w:caps/>
        <w:color w:val="944454"/>
        <w:sz w:val="16"/>
        <w:szCs w:val="16"/>
      </w:rPr>
      <w:t xml:space="preserve">GENDER EQUALITY</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cs="Calibri" w:eastAsia="Calibri" w:hAnsi="Calibri"/>
        <w:color w:val="28251D"/>
        <w:sz w:val="21"/>
        <w:szCs w:val="21"/>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header" Target="header1.xml"/><Relationship Id="rId8" Type="http://schemas.openxmlformats.org/officeDocument/2006/relationships/footer" Target="footer1.xml"/><Relationship Id="rId9"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Gender Equity at the Decision Table — AU Intelligence Brief 20/30</dc:title>
  <dc:creator>African Renaissance Trust</dc:creator>
  <dc:description>Two breakfast meetings, one convention, and $2.5 billion reshaped Africa's gender architecture</dc:description>
  <cp:lastModifiedBy>Un-named</cp:lastModifiedBy>
  <cp:revision>1</cp:revision>
  <dcterms:created xsi:type="dcterms:W3CDTF">2026-05-12T23:56:43.253Z</dcterms:created>
  <dcterms:modified xsi:type="dcterms:W3CDTF">2026-05-12T23:56:43.253Z</dcterms:modified>
</cp:coreProperties>
</file>

<file path=docProps/custom.xml><?xml version="1.0" encoding="utf-8"?>
<Properties xmlns="http://schemas.openxmlformats.org/officeDocument/2006/custom-properties" xmlns:vt="http://schemas.openxmlformats.org/officeDocument/2006/docPropsVTypes"/>
</file>