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26/36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Polio, WASH, and the Integration Imperative</w:t>
      </w:r>
    </w:p>
    <w:p>
      <w:pPr>
        <w:spacing w:after="200" w:before="0" w:line="300"/>
        <w:jc w:val="left"/>
      </w:pPr>
      <w:r>
        <w:rPr>
          <w:rFonts w:ascii="Calibri" w:cs="Calibri" w:eastAsia="Calibri" w:hAnsi="Calibri"/>
          <w:b w:val="false"/>
          <w:bCs w:val="false"/>
          <w:i/>
          <w:iCs/>
          <w:caps w:val="false"/>
          <w:color w:val="944454"/>
          <w:sz w:val="24"/>
          <w:szCs w:val="24"/>
        </w:rPr>
        <w:t xml:space="preserve">Standalone vertical programmes are a legacy model — the AU is moving to embedded approaches anchored in women's and children's health</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At a side event during the 39th AU Summit, a senior UNICEF official made a confession that drew uncomfortable nods across the room: “We built separate supply chains for polio, routine immunisation, and WASH that sometimes delivered to the same village on different days using different vehicles carrying different budgets.” The laughter that followed was the kind that acknowledges a systemic failure everyone recognises but few have publicly named.</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AU is moving decisively toward integration. The Summit's side events on polio and WASH synergies, women's health in primary care, and health systems strengthening all converged on the same operational message: embedding interventions within resilient primary health care and universal health coverage frameworks produces better outcomes, lower costs, and stronger community ownership than running parallel delivery systems.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evidence supports the shift. Polio surveillance networks — the community-based observers and laboratory systems that detect poliovirus — are also the most effective early warning system for other disease outbreaks. WASH infrastructure in health facilities directly affects maternal mortality, neonatal survival, and infection prevention. Nutritional interventions delivered through primary care reach women and children at the moments when impact is highest. Each vertical programme, when integrated into PHC/UHC platforms, amplifies the others.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practical challenge is that integration requires rewiring institutional architecture. Donors structured their funding in verticals. National programmes are organised in verticals. Reporting systems track vertical indicators. The institutional muscle memory of global health is vertical, even as the evidence base for integration grows stronger with every systematic review.</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AU's role is creating the continental policy framework that legitimises and accelerates integration at country level. When the Assembly endorses “malaria-smart” multi-sectoral approaches, it gives national governments political cover to reorganise their own health delivery systems. When the STC on Health recommends embedding WASH indicators within health system performance frameworks, it creates reporting obligations that connect water and health ministries.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For donor partners, the integration imperative demands an honest internal accounting. The donor community's own programme structure — global health, global development, gender equality, and growth-and-opportunity portfolios — creates internal boundaries that mirror the vertical architecture the AU is moving beyond. Donor country teams faces a dual challenge: aligning with the AU's integration agenda while navigating an internal structure that was built for a different era.</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ART ensures cross-cutting initiatives — where health, WASH, nutrition, and education intersect — are presented to the AU as integrated frameworks rather than competing vertical proposals. This reduces institutional fatigue and strengthens the donor community's collective positioning at every AU engagement point.</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the AU’s shift from vertical programmes to PHC-integrated approaches places women and children at the centre of every delivery platform — polio, WASH, immunisation, and nutrition all run through the same maternal-and-child contact points. Investments must follow the integration trend or be sidelined; gender-disaggregated outcome reporting is now a baseline expectation.</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Programmatic shift</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AU moving from vertical programmes to embedded PHC integration</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Affected verticals</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Polio · WASH · Immunisation · Nutrition</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Investment posture</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Programmes that resist integration lose continental traction</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“Polio, WASH, and the Integration Imperative.” AU Intelligence Series, Institutional Briefing No. 26/36,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polio-wash-integration · Pillar cluster index: 4/10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Polio, WASH, and the Integration Imperative — AU Intelligence Brief 26/30</dc:title>
  <dc:creator>African Renaissance Trust</dc:creator>
  <dc:description>Standalone vertical programmes are a legacy model — the AU is moving to embedded approaches anchored in women's and children's health</dc:description>
  <cp:lastModifiedBy>Un-named</cp:lastModifiedBy>
  <cp:revision>1</cp:revision>
  <dcterms:created xsi:type="dcterms:W3CDTF">2026-05-12T23:56:43.339Z</dcterms:created>
  <dcterms:modified xsi:type="dcterms:W3CDTF">2026-05-12T23:56:43.339Z</dcterms:modified>
</cp:coreProperties>
</file>

<file path=docProps/custom.xml><?xml version="1.0" encoding="utf-8"?>
<Properties xmlns="http://schemas.openxmlformats.org/officeDocument/2006/custom-properties" xmlns:vt="http://schemas.openxmlformats.org/officeDocument/2006/docPropsVTypes"/>
</file>