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31/36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Maputo Protocol at Twenty</w:t>
      </w:r>
    </w:p>
    <w:p>
      <w:pPr>
        <w:spacing w:after="200" w:before="0" w:line="300"/>
        <w:jc w:val="left"/>
      </w:pPr>
      <w:r>
        <w:rPr>
          <w:rFonts w:ascii="Calibri" w:cs="Calibri" w:eastAsia="Calibri" w:hAnsi="Calibri"/>
          <w:b w:val="false"/>
          <w:bCs w:val="false"/>
          <w:i/>
          <w:iCs/>
          <w:caps w:val="false"/>
          <w:color w:val="944454"/>
          <w:sz w:val="24"/>
          <w:szCs w:val="24"/>
        </w:rPr>
        <w:t xml:space="preserve">The continent's flagship women's-rights treaty has 45 ratifications and 23 reservations — the gap between paper and practice is the work</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Twenty-two years after African heads of state adopted the Maputo Protocol in 2003, the instrument has reached 45 of 55 AU member-state ratifications — one of the highest acceptance rates of any African human-rights treaty. The remaining ten holdouts include some of the continent's largest economies. The headline acceptance number conceals a more consequential fact: 23 ratifying states attached reservations or interpretive declarations, most of them to the same handful of articles — Article 14 on reproductive health, Article 6 on marriage age and consent, and Article 21 on widow's inheritance. The Protocol is universal in ambition and selective in application.</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instrument matters because it is the only continental treaty that binds states to specific, justiciable outcomes for women: criminalisation of female genital mutilation, equal inheritance, access to safe abortion in defined circumstances, and minimum marriage age of 18. Where domesticated, it has reshaped national family codes — Mozambique, Rwanda, South Africa, and most recently Sierra Leone have used the Protocol as the scaffolding for substantive legal reform. Where not domesticated, it sits inert. The African Court on Human and Peoples' Rights has issued just seven Maputo-grounded judgments since 2014.</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institutional architecture around the Protocol is finally maturing. The African Commission's Special Rapporteur on the Rights of Women now publishes annual scorecards by state. The Gender, Peace and Security framework references Maputo as binding source law. The AU Women, Gender and Youth Directorate has a domestication toolkit in five languages. And the Gender Equality Strategy 2018–2028 sets a measurable target: ten additional domestications and the lifting of fifteen reservations by 2028. With three years remaining, neither target is on track.</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For continental partners, the Protocol is a piece of legal infrastructure with a clear maintenance schedule. The work is no longer ratification advocacy — it is reservation withdrawal, domestication, judicial training, and litigation support. Each of these is fundable, measurable, and politically tractable in different country contexts. The platinum opportunity is to underwrite the African Commission's monitoring function and the African Court's case-management system, both of which determine whether Protocol rights become enforceable rights.</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The Maputo Protocol's twenty-year arc is the clearest evidence that continental rights instruments can be drafted, adopted, and partially implemented within a single generation — but cannot finish the job without sustained external support for the monitoring and adjudication machinery. The 23 reservations are not a failure of the Protocol; they are its remaining workload.</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the Maputo Protocol is the continent's most leveraged piece of women's-rights legal infrastructure — and its remaining workload is highly specific. Reservation withdrawal campaigns, domestication support, judicial training, and litigation funding are each fundable, measurable, and politically tractable. Underwriting the African Commission's monitoring function and the African Court's case-management system converts Protocol rights into enforceable rights.</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Treaty status</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Maputo Protocol — 45/55 ratifications · 23 reservations attached</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Key reserved articles</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Art. 14 (reproductive health) · Art. 6 (marriage age) · Art. 21 (widow's inheritance)</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Monitoring channels</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African Commission Special Rapporteur · African Court of Human Rights</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Strategy target</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Ten new domestications and fifteen reservation withdrawals by 2028</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“Maputo Protocol at Twenty.” AU Intelligence Series, Institutional Briefing No. 31/36,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maputo-protocol-at-twenty · Pillar cluster index: 5/10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Maputo Protocol at Twenty — AU Intelligence Brief 31/30</dc:title>
  <dc:creator>African Renaissance Trust</dc:creator>
  <dc:description>The continent's flagship women's-rights treaty has 45 ratifications and 23 reservations — the gap between paper and practice is the work</dc:description>
  <cp:lastModifiedBy>Un-named</cp:lastModifiedBy>
  <cp:revision>1</cp:revision>
  <dcterms:created xsi:type="dcterms:W3CDTF">2026-05-12T23:56:43.406Z</dcterms:created>
  <dcterms:modified xsi:type="dcterms:W3CDTF">2026-05-12T23:56:43.406Z</dcterms:modified>
</cp:coreProperties>
</file>

<file path=docProps/custom.xml><?xml version="1.0" encoding="utf-8"?>
<Properties xmlns="http://schemas.openxmlformats.org/officeDocument/2006/custom-properties" xmlns:vt="http://schemas.openxmlformats.org/officeDocument/2006/docPropsVTypes"/>
</file>