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32/36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The Care Economy Line Item</w:t>
      </w:r>
    </w:p>
    <w:p>
      <w:pPr>
        <w:spacing w:after="200" w:before="0" w:line="300"/>
        <w:jc w:val="left"/>
      </w:pPr>
      <w:r>
        <w:rPr>
          <w:rFonts w:ascii="Calibri" w:cs="Calibri" w:eastAsia="Calibri" w:hAnsi="Calibri"/>
          <w:b w:val="false"/>
          <w:bCs w:val="false"/>
          <w:i/>
          <w:iCs/>
          <w:caps w:val="false"/>
          <w:color w:val="944454"/>
          <w:sz w:val="24"/>
          <w:szCs w:val="24"/>
        </w:rPr>
        <w:t xml:space="preserve">Women perform an estimated 71% of the continent's unpaid care work — recognition is becoming a fiscal-policy variable, not a slogan</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The International Labour Organization estimates that across Sub-Saharan Africa, women perform between 3.4 and 5.0 times as much unpaid care and domestic work as men — the widest gender care gap of any region globally. Translated into hours, that is roughly 4.5 hours per day for women against 1.0 for men. Translated into output, the ILO and UN Women jointly value the continent's unpaid care economy at the equivalent of 9 to 11% of GDP — larger than agriculture in many economies and roughly comparable to the entire formal health sector.</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Until recently, that calculation was a footnote in development reports. Three things have moved it onto ministerial desks. First, the AU Heads of State endorsed the Continental Care Strategy in 2025, the first such instrument anywhere globally, which requires member states to recognise, reduce, redistribute, and reward unpaid care work — the four-R framework drawn from ILO conventions. Second, Kenya, South Africa, Senegal, and Rwanda have now produced time-use surveys that allow national statistics offices to attach numbers to care work. Third, the AU's Gender Coordination Forum has begun to include a care-economy indicator in the continental scorecard, which forces visibility at the Assembly.</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fiscal consequences are unfolding fastest at municipal level. Bogotá-style "care blocks" — co-located childcare, eldercare, laundry, and skills training — are being piloted in Kigali, Cape Town, and Addis Ababa with municipal budgets ranging from $2 million to $14 million. Early evaluations show measurable increases in women's labour-force participation in pilot wards, in the order of 8 to 12 percentage points. The economic case is now sharper than the rights case: redistributing care unlocks formal-sector productivity that no other intervention reaches.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What is missing is the financing architecture to scale these pilots into national programmes. Care work sits awkwardly between health, education, gender, and labour ministries; budget owners are diffuse; and donor portfolios remain organised by sectoral silo. Partners who can underwrite cross-ministerial care-economy instruments — particularly through ministries of finance rather than gender — will shape the next decade of women's economic participation on the continent.</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Care economy reform is the unusual case where the rights argument and the productivity argument point in the same direction. The Continental Care Strategy creates the policy hook; municipal pilots create the proof points; what is missing is a financing vehicle that can move the agenda from gender ministries to finance ministries — where care becomes a line item, not a programme.</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care-economy investment is the unusual case where rights and productivity arguments converge. The Continental Care Strategy creates the policy hook; municipal pilots in Kigali, Cape Town, and Addis Ababa create the proof points. Capital placed through ministries of finance rather than gender ministries will turn care from a programme into a fiscal line item — and unlock women's labour-force participation at scale.</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Care gap</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Women perform 3.4–5.0× more unpaid care work than men in Sub-Saharan Africa</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Economic value</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Unpaid care economy worth 9–11% of African GDP (ILO/UN Women)</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Policy instrument</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AU Continental Care Strategy (2025) — Recognise · Reduce · Redistribute · Reward</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Municipal pilots</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Care blocks live in Kigali, Cape Town, Addis Ababa — 8–12 pp uplift in women's labour-force participation</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“The Care Economy Line Item.” AU Intelligence Series, Institutional Briefing No. 32/36,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care-economy-line-item · Pillar cluster index: 6/10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Care Economy Line Item — AU Intelligence Brief 32/30</dc:title>
  <dc:creator>African Renaissance Trust</dc:creator>
  <dc:description>Women perform an estimated 71% of the continent's unpaid care work — recognition is becoming a fiscal-policy variable, not a slogan</dc:description>
  <cp:lastModifiedBy>Un-named</cp:lastModifiedBy>
  <cp:revision>1</cp:revision>
  <dcterms:created xsi:type="dcterms:W3CDTF">2026-05-12T23:56:43.419Z</dcterms:created>
  <dcterms:modified xsi:type="dcterms:W3CDTF">2026-05-12T23:56:43.419Z</dcterms:modified>
</cp:coreProperties>
</file>

<file path=docProps/custom.xml><?xml version="1.0" encoding="utf-8"?>
<Properties xmlns="http://schemas.openxmlformats.org/officeDocument/2006/custom-properties" xmlns:vt="http://schemas.openxmlformats.org/officeDocument/2006/docPropsVTypes"/>
</file>