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none" w:color="FFFFFF" w:sz="0"/>
              <w:left w:val="none" w:color="FFFFFF" w:sz="0"/>
              <w:bottom w:val="single" w:color="944454" w:sz="12"/>
              <w:right w:val="none" w:color="FFFFFF" w:sz="0"/>
            </w:tcBorders>
            <w:shd w:fill="FFFFFF" w:val="clear"/>
            <w:tcMar>
              <w:top w:type="dxa" w:w="60"/>
              <w:left w:type="dxa" w:w="0"/>
              <w:bottom w:type="dxa" w:w="60"/>
              <w:right w:type="dxa" w:w="0"/>
            </w:tcMar>
          </w:tcPr>
          <w:p>
            <w:pPr>
              <w:spacing w:after="60" w:before="0"/>
              <w:jc w:val="left"/>
            </w:pPr>
            <w:r>
              <w:rPr>
                <w:rFonts w:ascii="Calibri" w:cs="Calibri" w:eastAsia="Calibri" w:hAnsi="Calibri"/>
                <w:b/>
                <w:bCs/>
                <w:i w:val="false"/>
                <w:iCs w:val="false"/>
                <w:caps/>
                <w:color w:val="1F2A2C"/>
                <w:sz w:val="22"/>
                <w:szCs w:val="22"/>
              </w:rPr>
              <w:t xml:space="preserve">AFRICAN RENAISSANCE TRUST</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color w:val="5B5B5B"/>
                <w:sz w:val="22"/>
                <w:szCs w:val="22"/>
              </w:rPr>
              <w:t xml:space="preserve">INSTITUTIONAL BRIEFING</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val="false"/>
                <w:color w:val="944454"/>
                <w:sz w:val="22"/>
                <w:szCs w:val="22"/>
              </w:rPr>
              <w:t xml:space="preserve">No. 33/36</w:t>
            </w:r>
          </w:p>
          <w:p>
            <w:pPr>
              <w:spacing w:after="80" w:before="0"/>
              <w:jc w:val="left"/>
            </w:pPr>
            <w:r>
              <w:rPr>
                <w:rFonts w:ascii="Calibri" w:cs="Calibri" w:eastAsia="Calibri" w:hAnsi="Calibri"/>
                <w:b/>
                <w:bCs/>
                <w:i w:val="false"/>
                <w:iCs w:val="false"/>
                <w:caps/>
                <w:color w:val="944454"/>
                <w:sz w:val="18"/>
                <w:szCs w:val="18"/>
              </w:rPr>
              <w:t xml:space="preserve">GENDER EQUALITY</w:t>
            </w:r>
            <w:r>
              <w:rPr>
                <w:rFonts w:ascii="Calibri" w:cs="Calibri" w:eastAsia="Calibri" w:hAnsi="Calibri"/>
                <w:b w:val="false"/>
                <w:bCs w:val="false"/>
                <w:i w:val="false"/>
                <w:iCs w:val="false"/>
                <w:caps w:val="false"/>
                <w:color w:val="5B5B5B"/>
                <w:sz w:val="18"/>
                <w:szCs w:val="18"/>
              </w:rPr>
              <w:t xml:space="preserve">   |   </w:t>
            </w:r>
            <w:r>
              <w:rPr>
                <w:rFonts w:ascii="Calibri" w:cs="Calibri" w:eastAsia="Calibri" w:hAnsi="Calibri"/>
                <w:b w:val="false"/>
                <w:bCs w:val="false"/>
                <w:i/>
                <w:iCs/>
                <w:caps w:val="false"/>
                <w:color w:val="5B5B5B"/>
                <w:sz w:val="18"/>
                <w:szCs w:val="18"/>
              </w:rPr>
              <w:t xml:space="preserve">Rights · Representation · Decision-Making Architecture</w:t>
            </w:r>
          </w:p>
        </w:tc>
      </w:tr>
    </w:tbl>
    <w:p>
      <w:pPr>
        <w:spacing w:after="40" w:before="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rPr>
          <w:trHeight w:val="2592" w:hRule="atLeast"/>
        </w:trPr>
        <w:tc>
          <w:tcPr>
            <w:tcW w:type="dxa" w:w="9648"/>
            <w:tcBorders>
              <w:top w:val="dashed" w:color="D4D1CA" w:sz="6"/>
              <w:left w:val="dashed" w:color="D4D1CA" w:sz="6"/>
              <w:bottom w:val="dashed" w:color="D4D1CA" w:sz="6"/>
              <w:right w:val="dashed" w:color="D4D1CA" w:sz="6"/>
            </w:tcBorders>
            <w:shd w:fill="EFE9DA" w:val="clear"/>
            <w:tcMar>
              <w:top w:type="dxa" w:w="240"/>
              <w:left w:type="dxa" w:w="240"/>
              <w:bottom w:type="dxa" w:w="240"/>
              <w:right w:type="dxa" w:w="240"/>
            </w:tcMar>
            <w:vAlign w:val="center"/>
          </w:tcPr>
          <w:p>
            <w:pPr>
              <w:spacing w:after="40" w:before="0"/>
              <w:jc w:val="center"/>
            </w:pPr>
            <w:r>
              <w:rPr>
                <w:rFonts w:ascii="Calibri" w:cs="Calibri" w:eastAsia="Calibri" w:hAnsi="Calibri"/>
                <w:b/>
                <w:bCs/>
                <w:i w:val="false"/>
                <w:iCs w:val="false"/>
                <w:caps/>
                <w:color w:val="5B5B5B"/>
                <w:sz w:val="24"/>
                <w:szCs w:val="24"/>
              </w:rPr>
              <w:t xml:space="preserve">THUMBNAIL IMAGE</w:t>
            </w:r>
          </w:p>
          <w:p>
            <w:pPr>
              <w:spacing w:after="20" w:before="0"/>
              <w:jc w:val="center"/>
            </w:pPr>
            <w:r>
              <w:rPr>
                <w:rFonts w:ascii="Calibri" w:cs="Calibri" w:eastAsia="Calibri" w:hAnsi="Calibri"/>
                <w:b w:val="false"/>
                <w:bCs w:val="false"/>
                <w:i/>
                <w:iCs/>
                <w:caps w:val="false"/>
                <w:color w:val="5B5B5B"/>
                <w:sz w:val="18"/>
                <w:szCs w:val="18"/>
              </w:rPr>
              <w:t xml:space="preserve">Replace this placeholder with the featured image (1200 × 675 px recommended, 16:9).</w:t>
            </w:r>
          </w:p>
          <w:p>
            <w:pPr>
              <w:spacing w:after="0" w:before="0"/>
              <w:jc w:val="center"/>
            </w:pPr>
            <w:r>
              <w:rPr>
                <w:rFonts w:ascii="Calibri" w:cs="Calibri" w:eastAsia="Calibri" w:hAnsi="Calibri"/>
                <w:b w:val="false"/>
                <w:bCs w:val="false"/>
                <w:i w:val="false"/>
                <w:iCs w:val="false"/>
                <w:caps w:val="false"/>
                <w:color w:val="5B5B5B"/>
                <w:sz w:val="16"/>
                <w:szCs w:val="16"/>
              </w:rPr>
              <w:t xml:space="preserve">For WordPress upload: set the same image as the post Featured Image.</w:t>
            </w:r>
          </w:p>
        </w:tc>
      </w:tr>
    </w:tbl>
    <w:p>
      <w:pPr>
        <w:spacing w:after="80" w:before="280" w:line="280"/>
        <w:jc w:val="left"/>
      </w:pPr>
      <w:r>
        <w:rPr>
          <w:rFonts w:ascii="Calibri" w:cs="Calibri" w:eastAsia="Calibri" w:hAnsi="Calibri"/>
          <w:b/>
          <w:bCs/>
          <w:i w:val="false"/>
          <w:iCs w:val="false"/>
          <w:caps w:val="false"/>
          <w:color w:val="1F2A2C"/>
          <w:sz w:val="44"/>
          <w:szCs w:val="44"/>
        </w:rPr>
        <w:t xml:space="preserve">Women, Peace, and FemWise-Africa</w:t>
      </w:r>
    </w:p>
    <w:p>
      <w:pPr>
        <w:spacing w:after="200" w:before="0" w:line="300"/>
        <w:jc w:val="left"/>
      </w:pPr>
      <w:r>
        <w:rPr>
          <w:rFonts w:ascii="Calibri" w:cs="Calibri" w:eastAsia="Calibri" w:hAnsi="Calibri"/>
          <w:b w:val="false"/>
          <w:bCs w:val="false"/>
          <w:i/>
          <w:iCs/>
          <w:caps w:val="false"/>
          <w:color w:val="944454"/>
          <w:sz w:val="24"/>
          <w:szCs w:val="24"/>
        </w:rPr>
        <w:t xml:space="preserve">The continent now has an institutional answer to UNSCR 1325 — a standing network of women mediators deployed across active African conflicts</w:t>
      </w:r>
    </w:p>
    <w:p>
      <w:pPr>
        <w:pBdr>
          <w:bottom w:val="single" w:color="D4D1CA" w:sz="4" w:space="1"/>
        </w:pBdr>
        <w:spacing w:after="200" w:before="0"/>
      </w:pPr>
      <w: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216"/>
        <w:gridCol w:w="3216"/>
        <w:gridCol w:w="3216"/>
      </w:tblGrid>
      <w:tr>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SERIES</w:t>
            </w:r>
          </w:p>
          <w:p>
            <w:pPr>
              <w:spacing w:after="0" w:before="0"/>
              <w:jc w:val="left"/>
            </w:pPr>
            <w:r>
              <w:rPr>
                <w:rFonts w:ascii="Calibri" w:cs="Calibri" w:eastAsia="Calibri" w:hAnsi="Calibri"/>
                <w:b w:val="false"/>
                <w:bCs w:val="false"/>
                <w:i w:val="false"/>
                <w:iCs w:val="false"/>
                <w:caps w:val="false"/>
                <w:color w:val="28251D"/>
                <w:sz w:val="17"/>
                <w:szCs w:val="17"/>
              </w:rPr>
              <w:t xml:space="preserve">AU Intelligence · 36-Brief Series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AUDIENCE</w:t>
            </w:r>
          </w:p>
          <w:p>
            <w:pPr>
              <w:spacing w:after="0" w:before="0"/>
              <w:jc w:val="left"/>
            </w:pPr>
            <w:r>
              <w:rPr>
                <w:rFonts w:ascii="Calibri" w:cs="Calibri" w:eastAsia="Calibri" w:hAnsi="Calibri"/>
                <w:b w:val="false"/>
                <w:bCs w:val="false"/>
                <w:i w:val="false"/>
                <w:iCs w:val="false"/>
                <w:caps w:val="false"/>
                <w:color w:val="28251D"/>
                <w:sz w:val="17"/>
                <w:szCs w:val="17"/>
              </w:rPr>
              <w:t xml:space="preserve">Donor desks · Parliamentary committees · Ministerial offices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FORMAT</w:t>
            </w:r>
          </w:p>
          <w:p>
            <w:pPr>
              <w:spacing w:after="0" w:before="0"/>
              <w:jc w:val="left"/>
            </w:pPr>
            <w:r>
              <w:rPr>
                <w:rFonts w:ascii="Calibri" w:cs="Calibri" w:eastAsia="Calibri" w:hAnsi="Calibri"/>
                <w:b w:val="false"/>
                <w:bCs w:val="false"/>
                <w:i w:val="false"/>
                <w:iCs w:val="false"/>
                <w:caps w:val="false"/>
                <w:color w:val="28251D"/>
                <w:sz w:val="17"/>
                <w:szCs w:val="17"/>
              </w:rPr>
              <w:t xml:space="preserve">One-page institutional briefing · Tabling-ready</w:t>
            </w:r>
          </w:p>
        </w:tc>
      </w:tr>
    </w:tbl>
    <w:p>
      <w:pPr>
        <w:spacing w:after="60" w:before="0"/>
        <w:jc w:val="left"/>
      </w:pPr>
      <w:r>
        <w:rPr>
          <w:rFonts w:ascii="Calibri" w:cs="Calibri" w:eastAsia="Calibri" w:hAnsi="Calibri"/>
          <w:b w:val="false"/>
          <w:bCs w:val="false"/>
          <w:i w:val="false"/>
          <w:iCs w:val="false"/>
          <w:caps w:val="false"/>
          <w:color w:val="28251D"/>
          <w:sz w:val="8"/>
          <w:szCs w:val="8"/>
        </w:rPr>
        <w:t xml:space="preserve"> </w:t>
      </w:r>
    </w:p>
    <w:p>
      <w:pPr>
        <w:pBdr>
          <w:left w:val="single" w:color="944454" w:sz="18" w:space="12"/>
        </w:pBdr>
        <w:spacing w:after="160" w:before="120" w:line="320"/>
        <w:ind w:left="200"/>
      </w:pPr>
      <w:r>
        <w:rPr>
          <w:rFonts w:ascii="Calibri" w:cs="Calibri" w:eastAsia="Calibri" w:hAnsi="Calibri"/>
          <w:b w:val="false"/>
          <w:bCs w:val="false"/>
          <w:i w:val="false"/>
          <w:iCs w:val="false"/>
          <w:caps w:val="false"/>
          <w:color w:val="28251D"/>
          <w:sz w:val="23"/>
          <w:szCs w:val="23"/>
        </w:rPr>
        <w:t xml:space="preserve">Twenty-five years after the UN Security Council adopted Resolution 1325 on Women, Peace and Security, only seventeen African states have published National Action Plans, and fewer than half of those are funded. Yet at continental level, Africa has built the most operational women-mediators network anywhere globally: FemWise-Africa, established in 2017 under the AU Peace and Security Council, now rosters more than 700 vetted women mediators, conflict analysts, and dialogue facilitators across the 55 member states. Deployments in 2024–25 included South Sudan, the eastern DRC, Sudan, the Sahel mediation track, and the post-election dialogue in Mozambique.</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network's significance lies in its institutional anchoring. FemWise sits inside the AU Panel of the Wise's architecture, which means its members can be drawn into formal AU mediation efforts without bureaucratic improvisation. The Resolution of the African Union Assembly that established FemWise also placed it inside the African Peace and Security Architecture (APSA), giving its analyses standing weight inside the Peace and Security Council's preventive-diplomacy track. The 2024 Continental Results Framework on Women, Peace and Security — coordinated by the AU Office of the Special Envoy on Women, Peace and Security — now requires Regional Economic Communities to report annually on women's representation in mediation, security-sector reform, and post-conflict reconstruction.</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data behind the institutional architecture is uneven. African women represent roughly 9% of negotiators in formal continental peace processes (2024 AU tracking data) — better than the global average of 6%, but well below the 30% threshold most major frameworks reference. The variation across processes is dramatic: the Mozambique post-election dialogue reached 28% women in formal negotiating teams; the Sudan tracks remain below 5%. The gap is now a measurable accountability variable rather than a rhetorical one.</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For continental partners, the operational opening is concrete. Funding the deployment costs of FemWise mediators, underwriting National Action Plan implementation in priority states, and supporting the data systems that track women's representation in security-sector reform are all sized at portfolio scale. The political case is unusually strong: in a moment when Africa's security architecture is under intense pressure from the Sahel withdrawals and the eastern DRC crisis, women-mediator capacity is one of the few areas where the AU has institutional readiness ahead of demand.</w:t>
      </w:r>
    </w:p>
    <w:p>
      <w:pPr>
        <w:spacing w:after="60" w:before="10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00696F" w:sz="6"/>
              <w:left w:val="single" w:color="00696F" w:sz="18"/>
              <w:bottom w:val="single" w:color="00696F" w:sz="6"/>
              <w:right w:val="single" w:color="00696F" w:sz="6"/>
            </w:tcBorders>
            <w:shd w:fill="E9F2F2"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00696F"/>
                <w:sz w:val="18"/>
                <w:szCs w:val="18"/>
              </w:rPr>
              <w:t xml:space="preserve">ART INSIGHT — Institutional Read</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FemWise-Africa is the rare case where continental institutional capacity is ahead of national implementation. The roster exists; the mandate exists; the deployment record is real. What is uneven is country-level absorption — particularly the funding of National Action Plans. Partners who finance the bridge between the continental roster and country-level reform will compound impact across both peace processes and gender architecture.</w:t>
            </w:r>
          </w:p>
        </w:tc>
      </w:tr>
    </w:tbl>
    <w:p>
      <w:pPr>
        <w:spacing w:after="60" w:before="8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BC8B2C" w:sz="6"/>
              <w:left w:val="single" w:color="BC8B2C" w:sz="18"/>
              <w:bottom w:val="single" w:color="BC8B2C" w:sz="6"/>
              <w:right w:val="single" w:color="BC8B2C" w:sz="6"/>
            </w:tcBorders>
            <w:shd w:fill="F7F0DC"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BC8B2C"/>
                <w:sz w:val="18"/>
                <w:szCs w:val="18"/>
              </w:rPr>
              <w:t xml:space="preserve">DONOR RELEVANCE — Decision Implication</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For donors, FemWise-Africa is the operational answer to UNSCR 1325 on the continent — a 700-strong roster of vetted women mediators with formal AU institutional standing. Funding deployment costs, supporting National Action Plan implementation, and underwriting Women, Peace and Security data systems are sized at portfolio scale and produce measurable outcomes inside ongoing peace processes.</w:t>
            </w:r>
          </w:p>
        </w:tc>
      </w:tr>
    </w:tbl>
    <w:p>
      <w:pPr>
        <w:spacing w:after="60" w:before="240"/>
        <w:jc w:val="left"/>
      </w:pPr>
      <w:r>
        <w:rPr>
          <w:rFonts w:ascii="Calibri" w:cs="Calibri" w:eastAsia="Calibri" w:hAnsi="Calibri"/>
          <w:b/>
          <w:bCs/>
          <w:i w:val="false"/>
          <w:iCs w:val="false"/>
          <w:caps/>
          <w:color w:val="5B5B5B"/>
          <w:sz w:val="18"/>
          <w:szCs w:val="18"/>
        </w:rPr>
        <w:t xml:space="preserve">AT-A-GLANCE ANALYTICS</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087"/>
        <w:gridCol w:w="6560"/>
      </w:tblGrid>
      <w:tr>
        <w:tc>
          <w:tcPr>
            <w:tcW w:type="dxa" w:w="3087"/>
            <w:tcBorders>
              <w:top w:val="single" w:color="1F2A2C" w:sz="18"/>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Network</w:t>
            </w:r>
          </w:p>
        </w:tc>
        <w:tc>
          <w:tcPr>
            <w:tcW w:type="dxa" w:w="6560"/>
            <w:tcBorders>
              <w:top w:val="single" w:color="1F2A2C" w:sz="18"/>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FemWise-Africa — 700+ vetted women mediators across 55 states</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Institutional anchor</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AU Panel of the Wise · African Peace and Security Architecture (APSA)</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Recent deployments</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South Sudan · eastern DRC · Sudan · Sahel · Mozambique post-election</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Representation data</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~9% women in formal continental peace negotiations (2024 AU tracking)</w:t>
            </w:r>
          </w:p>
        </w:tc>
      </w:tr>
      <w:tr>
        <w:tc>
          <w:tcPr>
            <w:tcW w:type="dxa" w:w="3087"/>
            <w:tcBorders>
              <w:top w:val="single" w:color="D4D1CA" w:sz="4"/>
              <w:left w:val="none" w:color="FFFFFF" w:sz="0"/>
              <w:bottom w:val="single" w:color="1F2A2C" w:sz="18"/>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Accountability frame</w:t>
            </w:r>
          </w:p>
        </w:tc>
        <w:tc>
          <w:tcPr>
            <w:tcW w:type="dxa" w:w="6560"/>
            <w:tcBorders>
              <w:top w:val="single" w:color="D4D1CA" w:sz="4"/>
              <w:left w:val="single" w:color="D4D1CA" w:sz="4"/>
              <w:bottom w:val="single" w:color="1F2A2C" w:sz="18"/>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Continental Results Framework on Women, Peace and Security (2024)</w:t>
            </w:r>
          </w:p>
        </w:tc>
      </w:tr>
    </w:tbl>
    <w:p>
      <w:pPr>
        <w:pBdr>
          <w:bottom w:val="single" w:color="944454" w:sz="12" w:space="1"/>
        </w:pBdr>
        <w:spacing w:after="100" w:before="200"/>
      </w:pPr>
      <w:r>
        <w:t xml:space="preserve"> </w:t>
      </w:r>
    </w:p>
    <w:p>
      <w:pPr>
        <w:spacing w:after="80" w:before="0"/>
        <w:jc w:val="left"/>
      </w:pPr>
      <w:r>
        <w:rPr>
          <w:rFonts w:ascii="Calibri" w:cs="Calibri" w:eastAsia="Calibri" w:hAnsi="Calibri"/>
          <w:b/>
          <w:bCs/>
          <w:i w:val="false"/>
          <w:iCs w:val="false"/>
          <w:caps/>
          <w:color w:val="5B5B5B"/>
          <w:sz w:val="14"/>
          <w:szCs w:val="14"/>
        </w:rPr>
        <w:t xml:space="preserve">SUGGESTED CITATION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iCs/>
          <w:caps w:val="false"/>
          <w:color w:val="5B5B5B"/>
          <w:sz w:val="14"/>
          <w:szCs w:val="14"/>
        </w:rPr>
        <w:t xml:space="preserve">African Renaissance Trust (2026). “Women, Peace, and FemWise-Africa.” AU Intelligence Series, Institutional Briefing No. 33/36, GENDER EQUALITY pillar. Available at africanrenaissancetrust.org/insights.</w:t>
      </w:r>
    </w:p>
    <w:p>
      <w:pPr>
        <w:spacing w:after="0" w:before="0"/>
        <w:jc w:val="left"/>
      </w:pPr>
      <w:r>
        <w:rPr>
          <w:rFonts w:ascii="Calibri" w:cs="Calibri" w:eastAsia="Calibri" w:hAnsi="Calibri"/>
          <w:b/>
          <w:bCs/>
          <w:i w:val="false"/>
          <w:iCs w:val="false"/>
          <w:caps/>
          <w:color w:val="5B5B5B"/>
          <w:sz w:val="14"/>
          <w:szCs w:val="14"/>
        </w:rPr>
        <w:t xml:space="preserve">FILE METADATA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val="false"/>
          <w:iCs w:val="false"/>
          <w:caps w:val="false"/>
          <w:color w:val="5B5B5B"/>
          <w:sz w:val="14"/>
          <w:szCs w:val="14"/>
        </w:rPr>
        <w:t xml:space="preserve">Slug: femwise-africa-women-peace-security · Pillar cluster index: 7/10 · WordPress upload: Insights → Add New → Featured Image required.</w:t>
      </w:r>
    </w:p>
    <w:sectPr>
      <w:headerReference w:type="default" r:id="rId7"/>
      <w:footerReference w:type="default" r:id="rId8"/>
      <w:pgSz w:w="12240" w:h="15840" w:orient="portrait"/>
      <w:pgMar w:top="1296"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b w:val="false"/>
        <w:bCs w:val="false"/>
        <w:i w:val="false"/>
        <w:iCs w:val="false"/>
        <w:caps w:val="false"/>
        <w:color w:val="5B5B5B"/>
        <w:sz w:val="14"/>
        <w:szCs w:val="14"/>
      </w:rPr>
      <w:t xml:space="preserve">© African Renaissance Trust 2026  ·  Institutional Briefing  ·  </w:t>
    </w:r>
    <w:r>
      <w:rPr>
        <w:rFonts w:ascii="Calibri" w:cs="Calibri" w:eastAsia="Calibri" w:hAnsi="Calibri"/>
        <w:color w:val="5B5B5B"/>
        <w:sz w:val="14"/>
        <w:szCs w:val="14"/>
      </w:rPr>
      <w:t xml:space="preserve">Brief </w:t>
      <w:fldChar w:fldCharType="begin"/>
      <w:instrText xml:space="preserve">PAGE</w:instrText>
      <w:fldChar w:fldCharType="separate"/>
      <w:fldChar w:fldCharType="end"/>
      <w:t xml:space="preserve"> / 36</w:t>
    </w:r>
    <w:r>
      <w:rPr>
        <w:rFonts w:ascii="Calibri" w:cs="Calibri" w:eastAsia="Calibri" w:hAnsi="Calibri"/>
        <w:b w:val="false"/>
        <w:bCs w:val="false"/>
        <w:i w:val="false"/>
        <w:iCs w:val="false"/>
        <w:caps w:val="false"/>
        <w:color w:val="5B5B5B"/>
        <w:sz w:val="14"/>
        <w:szCs w:val="14"/>
      </w:rPr>
      <w:t xml:space="preserve">  ·  insights.africanrenaissancetrust.org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jc w:val="left"/>
    </w:pPr>
    <w:r>
      <w:rPr>
        <w:rFonts w:ascii="Calibri" w:cs="Calibri" w:eastAsia="Calibri" w:hAnsi="Calibri"/>
        <w:b/>
        <w:bCs/>
        <w:i w:val="false"/>
        <w:iCs w:val="false"/>
        <w:caps/>
        <w:color w:val="1F2A2C"/>
        <w:sz w:val="16"/>
        <w:szCs w:val="16"/>
      </w:rPr>
      <w:t xml:space="preserve">AFRICAN RENAISSANCE TRUST</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val="false"/>
        <w:bCs w:val="false"/>
        <w:i w:val="false"/>
        <w:iCs w:val="false"/>
        <w:caps/>
        <w:color w:val="5B5B5B"/>
        <w:sz w:val="16"/>
        <w:szCs w:val="16"/>
      </w:rPr>
      <w:t xml:space="preserve">AU INTELLIGENCE SERIES</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bCs/>
        <w:i w:val="false"/>
        <w:iCs w:val="false"/>
        <w:caps/>
        <w:color w:val="944454"/>
        <w:sz w:val="16"/>
        <w:szCs w:val="16"/>
      </w:rPr>
      <w:t xml:space="preserve">GENDER EQUALITY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Peace, and FemWise-Africa — AU Intelligence Brief 33/30</dc:title>
  <dc:creator>African Renaissance Trust</dc:creator>
  <dc:description>The continent now has an institutional answer to UNSCR 1325 — a standing network of women mediators deployed across active African conflicts</dc:description>
  <cp:lastModifiedBy>Un-named</cp:lastModifiedBy>
  <cp:revision>1</cp:revision>
  <dcterms:created xsi:type="dcterms:W3CDTF">2026-05-12T23:56:43.431Z</dcterms:created>
  <dcterms:modified xsi:type="dcterms:W3CDTF">2026-05-12T23:56:43.431Z</dcterms:modified>
</cp:coreProperties>
</file>

<file path=docProps/custom.xml><?xml version="1.0" encoding="utf-8"?>
<Properties xmlns="http://schemas.openxmlformats.org/officeDocument/2006/custom-properties" xmlns:vt="http://schemas.openxmlformats.org/officeDocument/2006/docPropsVTypes"/>
</file>