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none" w:color="FFFFFF" w:sz="0"/>
              <w:left w:val="none" w:color="FFFFFF" w:sz="0"/>
              <w:bottom w:val="single" w:color="944454" w:sz="12"/>
              <w:right w:val="none" w:color="FFFFFF" w:sz="0"/>
            </w:tcBorders>
            <w:shd w:fill="FFFFFF" w:val="clear"/>
            <w:tcMar>
              <w:top w:type="dxa" w:w="60"/>
              <w:left w:type="dxa" w:w="0"/>
              <w:bottom w:type="dxa" w:w="60"/>
              <w:right w:type="dxa" w:w="0"/>
            </w:tcMar>
          </w:tcPr>
          <w:p>
            <w:pPr>
              <w:spacing w:after="60" w:before="0"/>
              <w:jc w:val="left"/>
            </w:pPr>
            <w:r>
              <w:rPr>
                <w:rFonts w:ascii="Calibri" w:cs="Calibri" w:eastAsia="Calibri" w:hAnsi="Calibri"/>
                <w:b/>
                <w:bCs/>
                <w:i w:val="false"/>
                <w:iCs w:val="false"/>
                <w:caps/>
                <w:color w:val="1F2A2C"/>
                <w:sz w:val="22"/>
                <w:szCs w:val="22"/>
              </w:rPr>
              <w:t xml:space="preserve">AFRICAN RENAISSANCE TRUST</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color w:val="5B5B5B"/>
                <w:sz w:val="22"/>
                <w:szCs w:val="22"/>
              </w:rPr>
              <w:t xml:space="preserve">INSTITUTIONAL BRIEFING</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val="false"/>
                <w:color w:val="944454"/>
                <w:sz w:val="22"/>
                <w:szCs w:val="22"/>
              </w:rPr>
              <w:t xml:space="preserve">No. 34/36</w:t>
            </w:r>
          </w:p>
          <w:p>
            <w:pPr>
              <w:spacing w:after="80" w:before="0"/>
              <w:jc w:val="left"/>
            </w:pPr>
            <w:r>
              <w:rPr>
                <w:rFonts w:ascii="Calibri" w:cs="Calibri" w:eastAsia="Calibri" w:hAnsi="Calibri"/>
                <w:b/>
                <w:bCs/>
                <w:i w:val="false"/>
                <w:iCs w:val="false"/>
                <w:caps/>
                <w:color w:val="944454"/>
                <w:sz w:val="18"/>
                <w:szCs w:val="18"/>
              </w:rPr>
              <w:t xml:space="preserve">GENDER EQUALITY</w:t>
            </w:r>
            <w:r>
              <w:rPr>
                <w:rFonts w:ascii="Calibri" w:cs="Calibri" w:eastAsia="Calibri" w:hAnsi="Calibri"/>
                <w:b w:val="false"/>
                <w:bCs w:val="false"/>
                <w:i w:val="false"/>
                <w:iCs w:val="false"/>
                <w:caps w:val="false"/>
                <w:color w:val="5B5B5B"/>
                <w:sz w:val="18"/>
                <w:szCs w:val="18"/>
              </w:rPr>
              <w:t xml:space="preserve">   |   </w:t>
            </w:r>
            <w:r>
              <w:rPr>
                <w:rFonts w:ascii="Calibri" w:cs="Calibri" w:eastAsia="Calibri" w:hAnsi="Calibri"/>
                <w:b w:val="false"/>
                <w:bCs w:val="false"/>
                <w:i/>
                <w:iCs/>
                <w:caps w:val="false"/>
                <w:color w:val="5B5B5B"/>
                <w:sz w:val="18"/>
                <w:szCs w:val="18"/>
              </w:rPr>
              <w:t xml:space="preserve">Rights · Representation · Decision-Making Architecture</w:t>
            </w:r>
          </w:p>
        </w:tc>
      </w:tr>
    </w:tbl>
    <w:p>
      <w:pPr>
        <w:spacing w:after="40" w:before="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rPr>
          <w:trHeight w:val="2592" w:hRule="atLeast"/>
        </w:trPr>
        <w:tc>
          <w:tcPr>
            <w:tcW w:type="dxa" w:w="9648"/>
            <w:tcBorders>
              <w:top w:val="dashed" w:color="D4D1CA" w:sz="6"/>
              <w:left w:val="dashed" w:color="D4D1CA" w:sz="6"/>
              <w:bottom w:val="dashed" w:color="D4D1CA" w:sz="6"/>
              <w:right w:val="dashed" w:color="D4D1CA" w:sz="6"/>
            </w:tcBorders>
            <w:shd w:fill="EFE9DA" w:val="clear"/>
            <w:tcMar>
              <w:top w:type="dxa" w:w="240"/>
              <w:left w:type="dxa" w:w="240"/>
              <w:bottom w:type="dxa" w:w="240"/>
              <w:right w:type="dxa" w:w="240"/>
            </w:tcMar>
            <w:vAlign w:val="center"/>
          </w:tcPr>
          <w:p>
            <w:pPr>
              <w:spacing w:after="40" w:before="0"/>
              <w:jc w:val="center"/>
            </w:pPr>
            <w:r>
              <w:rPr>
                <w:rFonts w:ascii="Calibri" w:cs="Calibri" w:eastAsia="Calibri" w:hAnsi="Calibri"/>
                <w:b/>
                <w:bCs/>
                <w:i w:val="false"/>
                <w:iCs w:val="false"/>
                <w:caps/>
                <w:color w:val="5B5B5B"/>
                <w:sz w:val="24"/>
                <w:szCs w:val="24"/>
              </w:rPr>
              <w:t xml:space="preserve">THUMBNAIL IMAGE</w:t>
            </w:r>
          </w:p>
          <w:p>
            <w:pPr>
              <w:spacing w:after="20" w:before="0"/>
              <w:jc w:val="center"/>
            </w:pPr>
            <w:r>
              <w:rPr>
                <w:rFonts w:ascii="Calibri" w:cs="Calibri" w:eastAsia="Calibri" w:hAnsi="Calibri"/>
                <w:b w:val="false"/>
                <w:bCs w:val="false"/>
                <w:i/>
                <w:iCs/>
                <w:caps w:val="false"/>
                <w:color w:val="5B5B5B"/>
                <w:sz w:val="18"/>
                <w:szCs w:val="18"/>
              </w:rPr>
              <w:t xml:space="preserve">Replace this placeholder with the featured image (1200 × 675 px recommended, 16:9).</w:t>
            </w:r>
          </w:p>
          <w:p>
            <w:pPr>
              <w:spacing w:after="0" w:before="0"/>
              <w:jc w:val="center"/>
            </w:pPr>
            <w:r>
              <w:rPr>
                <w:rFonts w:ascii="Calibri" w:cs="Calibri" w:eastAsia="Calibri" w:hAnsi="Calibri"/>
                <w:b w:val="false"/>
                <w:bCs w:val="false"/>
                <w:i w:val="false"/>
                <w:iCs w:val="false"/>
                <w:caps w:val="false"/>
                <w:color w:val="5B5B5B"/>
                <w:sz w:val="16"/>
                <w:szCs w:val="16"/>
              </w:rPr>
              <w:t xml:space="preserve">For WordPress upload: set the same image as the post Featured Image.</w:t>
            </w:r>
          </w:p>
        </w:tc>
      </w:tr>
    </w:tbl>
    <w:p>
      <w:pPr>
        <w:spacing w:after="80" w:before="280" w:line="280"/>
        <w:jc w:val="left"/>
      </w:pPr>
      <w:r>
        <w:rPr>
          <w:rFonts w:ascii="Calibri" w:cs="Calibri" w:eastAsia="Calibri" w:hAnsi="Calibri"/>
          <w:b/>
          <w:bCs/>
          <w:i w:val="false"/>
          <w:iCs w:val="false"/>
          <w:caps w:val="false"/>
          <w:color w:val="1F2A2C"/>
          <w:sz w:val="44"/>
          <w:szCs w:val="44"/>
        </w:rPr>
        <w:t xml:space="preserve">The Gender Data Gap</w:t>
      </w:r>
    </w:p>
    <w:p>
      <w:pPr>
        <w:spacing w:after="200" w:before="0" w:line="300"/>
        <w:jc w:val="left"/>
      </w:pPr>
      <w:r>
        <w:rPr>
          <w:rFonts w:ascii="Calibri" w:cs="Calibri" w:eastAsia="Calibri" w:hAnsi="Calibri"/>
          <w:b w:val="false"/>
          <w:bCs w:val="false"/>
          <w:i/>
          <w:iCs/>
          <w:caps w:val="false"/>
          <w:color w:val="944454"/>
          <w:sz w:val="24"/>
          <w:szCs w:val="24"/>
        </w:rPr>
        <w:t xml:space="preserve">Africa now has continental indicators on gender — but only nineteen national statistics offices can populate them on a consistent cycle</w:t>
      </w:r>
    </w:p>
    <w:p>
      <w:pPr>
        <w:pBdr>
          <w:bottom w:val="single" w:color="D4D1CA" w:sz="4" w:space="1"/>
        </w:pBdr>
        <w:spacing w:after="200" w:before="0"/>
      </w:pPr>
      <w: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216"/>
        <w:gridCol w:w="3216"/>
        <w:gridCol w:w="3216"/>
      </w:tblGrid>
      <w:tr>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SERIES</w:t>
            </w:r>
          </w:p>
          <w:p>
            <w:pPr>
              <w:spacing w:after="0" w:before="0"/>
              <w:jc w:val="left"/>
            </w:pPr>
            <w:r>
              <w:rPr>
                <w:rFonts w:ascii="Calibri" w:cs="Calibri" w:eastAsia="Calibri" w:hAnsi="Calibri"/>
                <w:b w:val="false"/>
                <w:bCs w:val="false"/>
                <w:i w:val="false"/>
                <w:iCs w:val="false"/>
                <w:caps w:val="false"/>
                <w:color w:val="28251D"/>
                <w:sz w:val="17"/>
                <w:szCs w:val="17"/>
              </w:rPr>
              <w:t xml:space="preserve">AU Intelligence · 36-Brief Series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AUDIENCE</w:t>
            </w:r>
          </w:p>
          <w:p>
            <w:pPr>
              <w:spacing w:after="0" w:before="0"/>
              <w:jc w:val="left"/>
            </w:pPr>
            <w:r>
              <w:rPr>
                <w:rFonts w:ascii="Calibri" w:cs="Calibri" w:eastAsia="Calibri" w:hAnsi="Calibri"/>
                <w:b w:val="false"/>
                <w:bCs w:val="false"/>
                <w:i w:val="false"/>
                <w:iCs w:val="false"/>
                <w:caps w:val="false"/>
                <w:color w:val="28251D"/>
                <w:sz w:val="17"/>
                <w:szCs w:val="17"/>
              </w:rPr>
              <w:t xml:space="preserve">Donor desks · Parliamentary committees · Ministerial offices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FORMAT</w:t>
            </w:r>
          </w:p>
          <w:p>
            <w:pPr>
              <w:spacing w:after="0" w:before="0"/>
              <w:jc w:val="left"/>
            </w:pPr>
            <w:r>
              <w:rPr>
                <w:rFonts w:ascii="Calibri" w:cs="Calibri" w:eastAsia="Calibri" w:hAnsi="Calibri"/>
                <w:b w:val="false"/>
                <w:bCs w:val="false"/>
                <w:i w:val="false"/>
                <w:iCs w:val="false"/>
                <w:caps w:val="false"/>
                <w:color w:val="28251D"/>
                <w:sz w:val="17"/>
                <w:szCs w:val="17"/>
              </w:rPr>
              <w:t xml:space="preserve">One-page institutional briefing · Tabling-ready</w:t>
            </w:r>
          </w:p>
        </w:tc>
      </w:tr>
    </w:tbl>
    <w:p>
      <w:pPr>
        <w:spacing w:after="60" w:before="0"/>
        <w:jc w:val="left"/>
      </w:pPr>
      <w:r>
        <w:rPr>
          <w:rFonts w:ascii="Calibri" w:cs="Calibri" w:eastAsia="Calibri" w:hAnsi="Calibri"/>
          <w:b w:val="false"/>
          <w:bCs w:val="false"/>
          <w:i w:val="false"/>
          <w:iCs w:val="false"/>
          <w:caps w:val="false"/>
          <w:color w:val="28251D"/>
          <w:sz w:val="8"/>
          <w:szCs w:val="8"/>
        </w:rPr>
        <w:t xml:space="preserve"> </w:t>
      </w:r>
    </w:p>
    <w:p>
      <w:pPr>
        <w:pBdr>
          <w:left w:val="single" w:color="944454" w:sz="18" w:space="12"/>
        </w:pBdr>
        <w:spacing w:after="160" w:before="120" w:line="320"/>
        <w:ind w:left="200"/>
      </w:pPr>
      <w:r>
        <w:rPr>
          <w:rFonts w:ascii="Calibri" w:cs="Calibri" w:eastAsia="Calibri" w:hAnsi="Calibri"/>
          <w:b w:val="false"/>
          <w:bCs w:val="false"/>
          <w:i w:val="false"/>
          <w:iCs w:val="false"/>
          <w:caps w:val="false"/>
          <w:color w:val="28251D"/>
          <w:sz w:val="23"/>
          <w:szCs w:val="23"/>
        </w:rPr>
        <w:t xml:space="preserve">The African Union's Gender Scorecard was relaunched in 2024 with 33 indicators across rights, economic empowerment, decision-making, and gender-based violence. The Sustainable Development Goal 5 framework requires the same states to report on 14 indicators on a five-year cycle. The Maputo Protocol's monitoring framework adds another 27. In total, every AU member state is now expected to produce roughly 70 gender-disaggregated statistical indicators on a defined reporting cycle. Nineteen national statistics offices currently have the survey instruments, sampling frames, and personnel to meet that requirement. The remaining thirty-six do not.</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reason is structural: gender-sensitive data requires time-use surveys, violence-against-women prevalence surveys, and disaggregated labour-force surveys, each of which carries dedicated costs and trained enumeration teams. The cost of a single nationally representative violence-against-women prevalence survey is between $1.2 million and $2.8 million depending on country size and security conditions. Most African national statistics offices have not run one since the early 2010s, and several never have. Without these surveys, the AU Scorecard relies on modelled estimates rather than measured data — and modelled estimates do not survive parliamentary scrutiny.</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institutional response is now visible. The African Centre for Statistics, hosted at UNECA, has launched a five-year Gender Data Programme with a $42 million target. The African Statistical Coordination Committee has prioritised time-use surveys across ten lead states. Kenya, South Africa, Senegal, and Tunisia are functioning as regional methodology hubs, training enumerators from neighbouring states. The financing model is co-investment: national budgets cover survey delivery, continental funds cover methodology and quality assurance, and partner funds cover the gap. The structure is unusually clean.</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For continental partners, gender data is the precondition for almost every other gender investment. Without it, decision-makers cannot identify priority interventions, parliaments cannot hold ministries to account, and donors cannot measure outcomes. The proposition is small in dollar terms — a fully funded continental gender-data programme would cost less than $80 million over five years — and disproportionately high in leverage. It is the cheapest single investment in the gender-equality architecture.</w:t>
      </w:r>
    </w:p>
    <w:p>
      <w:pPr>
        <w:spacing w:after="60" w:before="10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00696F" w:sz="6"/>
              <w:left w:val="single" w:color="00696F" w:sz="18"/>
              <w:bottom w:val="single" w:color="00696F" w:sz="6"/>
              <w:right w:val="single" w:color="00696F" w:sz="6"/>
            </w:tcBorders>
            <w:shd w:fill="E9F2F2"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00696F"/>
                <w:sz w:val="18"/>
                <w:szCs w:val="18"/>
              </w:rPr>
              <w:t xml:space="preserve">ART INSIGHT — Institutional Read</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The gender data gap is the most under-funded leverage point in the continental gender architecture. Indicators without surveys produce reports that decision-makers discount. A modest, well-targeted statistical investment converts every other gender-equality investment from advocacy to evidence, and creates the accountability infrastructure that makes scorecards politically consequential.</w:t>
            </w:r>
          </w:p>
        </w:tc>
      </w:tr>
    </w:tbl>
    <w:p>
      <w:pPr>
        <w:spacing w:after="60" w:before="8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BC8B2C" w:sz="6"/>
              <w:left w:val="single" w:color="BC8B2C" w:sz="18"/>
              <w:bottom w:val="single" w:color="BC8B2C" w:sz="6"/>
              <w:right w:val="single" w:color="BC8B2C" w:sz="6"/>
            </w:tcBorders>
            <w:shd w:fill="F7F0DC"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BC8B2C"/>
                <w:sz w:val="18"/>
                <w:szCs w:val="18"/>
              </w:rPr>
              <w:t xml:space="preserve">DONOR RELEVANCE — Decision Implication</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For donors, gender data is the cheapest single investment in the continental gender architecture. A fully funded continental gender-data programme — roughly $80 million over five years — is the precondition that converts every other gender investment from advocacy into evidence. Without it, scorecards lack teeth and parliaments lack the basis to hold ministries to account.</w:t>
            </w:r>
          </w:p>
        </w:tc>
      </w:tr>
    </w:tbl>
    <w:p>
      <w:pPr>
        <w:spacing w:after="60" w:before="240"/>
        <w:jc w:val="left"/>
      </w:pPr>
      <w:r>
        <w:rPr>
          <w:rFonts w:ascii="Calibri" w:cs="Calibri" w:eastAsia="Calibri" w:hAnsi="Calibri"/>
          <w:b/>
          <w:bCs/>
          <w:i w:val="false"/>
          <w:iCs w:val="false"/>
          <w:caps/>
          <w:color w:val="5B5B5B"/>
          <w:sz w:val="18"/>
          <w:szCs w:val="18"/>
        </w:rPr>
        <w:t xml:space="preserve">AT-A-GLANCE ANALYTICS</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087"/>
        <w:gridCol w:w="6560"/>
      </w:tblGrid>
      <w:tr>
        <w:tc>
          <w:tcPr>
            <w:tcW w:type="dxa" w:w="3087"/>
            <w:tcBorders>
              <w:top w:val="single" w:color="1F2A2C" w:sz="18"/>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Reporting burden</w:t>
            </w:r>
          </w:p>
        </w:tc>
        <w:tc>
          <w:tcPr>
            <w:tcW w:type="dxa" w:w="6560"/>
            <w:tcBorders>
              <w:top w:val="single" w:color="1F2A2C" w:sz="18"/>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~70 gender-disaggregated indicators per state (AU Scorecard + SDG 5 + Maputo)</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Survey capacity</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19/55 national statistics offices able to populate consistently</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Survey cost</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Violence-against-women prevalence survey: $1.2–2.8 m per country</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Continental vehicle</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African Centre for Statistics — $42 m Gender Data Programme over 5 years</w:t>
            </w:r>
          </w:p>
        </w:tc>
      </w:tr>
      <w:tr>
        <w:tc>
          <w:tcPr>
            <w:tcW w:type="dxa" w:w="3087"/>
            <w:tcBorders>
              <w:top w:val="single" w:color="D4D1CA" w:sz="4"/>
              <w:left w:val="none" w:color="FFFFFF" w:sz="0"/>
              <w:bottom w:val="single" w:color="1F2A2C" w:sz="18"/>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Methodology hubs</w:t>
            </w:r>
          </w:p>
        </w:tc>
        <w:tc>
          <w:tcPr>
            <w:tcW w:type="dxa" w:w="6560"/>
            <w:tcBorders>
              <w:top w:val="single" w:color="D4D1CA" w:sz="4"/>
              <w:left w:val="single" w:color="D4D1CA" w:sz="4"/>
              <w:bottom w:val="single" w:color="1F2A2C" w:sz="18"/>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Kenya · South Africa · Senegal · Tunisia training regional enumerators</w:t>
            </w:r>
          </w:p>
        </w:tc>
      </w:tr>
    </w:tbl>
    <w:p>
      <w:pPr>
        <w:pBdr>
          <w:bottom w:val="single" w:color="944454" w:sz="12" w:space="1"/>
        </w:pBdr>
        <w:spacing w:after="100" w:before="200"/>
      </w:pPr>
      <w:r>
        <w:t xml:space="preserve"> </w:t>
      </w:r>
    </w:p>
    <w:p>
      <w:pPr>
        <w:spacing w:after="80" w:before="0"/>
        <w:jc w:val="left"/>
      </w:pPr>
      <w:r>
        <w:rPr>
          <w:rFonts w:ascii="Calibri" w:cs="Calibri" w:eastAsia="Calibri" w:hAnsi="Calibri"/>
          <w:b/>
          <w:bCs/>
          <w:i w:val="false"/>
          <w:iCs w:val="false"/>
          <w:caps/>
          <w:color w:val="5B5B5B"/>
          <w:sz w:val="14"/>
          <w:szCs w:val="14"/>
        </w:rPr>
        <w:t xml:space="preserve">SUGGESTED CITATION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iCs/>
          <w:caps w:val="false"/>
          <w:color w:val="5B5B5B"/>
          <w:sz w:val="14"/>
          <w:szCs w:val="14"/>
        </w:rPr>
        <w:t xml:space="preserve">African Renaissance Trust (2026). “The Gender Data Gap.” AU Intelligence Series, Institutional Briefing No. 34/36, GENDER EQUALITY pillar. Available at africanrenaissancetrust.org/insights.</w:t>
      </w:r>
    </w:p>
    <w:p>
      <w:pPr>
        <w:spacing w:after="0" w:before="0"/>
        <w:jc w:val="left"/>
      </w:pPr>
      <w:r>
        <w:rPr>
          <w:rFonts w:ascii="Calibri" w:cs="Calibri" w:eastAsia="Calibri" w:hAnsi="Calibri"/>
          <w:b/>
          <w:bCs/>
          <w:i w:val="false"/>
          <w:iCs w:val="false"/>
          <w:caps/>
          <w:color w:val="5B5B5B"/>
          <w:sz w:val="14"/>
          <w:szCs w:val="14"/>
        </w:rPr>
        <w:t xml:space="preserve">FILE METADATA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val="false"/>
          <w:iCs w:val="false"/>
          <w:caps w:val="false"/>
          <w:color w:val="5B5B5B"/>
          <w:sz w:val="14"/>
          <w:szCs w:val="14"/>
        </w:rPr>
        <w:t xml:space="preserve">Slug: africa-gender-data-gap · Pillar cluster index: 8/10 · WordPress upload: Insights → Add New → Featured Image required.</w:t>
      </w:r>
    </w:p>
    <w:sectPr>
      <w:headerReference w:type="default" r:id="rId7"/>
      <w:footerReference w:type="default" r:id="rId8"/>
      <w:pgSz w:w="12240" w:h="15840" w:orient="portrait"/>
      <w:pgMar w:top="1296" w:right="1296" w:bottom="1296"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b w:val="false"/>
        <w:bCs w:val="false"/>
        <w:i w:val="false"/>
        <w:iCs w:val="false"/>
        <w:caps w:val="false"/>
        <w:color w:val="5B5B5B"/>
        <w:sz w:val="14"/>
        <w:szCs w:val="14"/>
      </w:rPr>
      <w:t xml:space="preserve">© African Renaissance Trust 2026  ·  Institutional Briefing  ·  </w:t>
    </w:r>
    <w:r>
      <w:rPr>
        <w:rFonts w:ascii="Calibri" w:cs="Calibri" w:eastAsia="Calibri" w:hAnsi="Calibri"/>
        <w:color w:val="5B5B5B"/>
        <w:sz w:val="14"/>
        <w:szCs w:val="14"/>
      </w:rPr>
      <w:t xml:space="preserve">Brief </w:t>
      <w:fldChar w:fldCharType="begin"/>
      <w:instrText xml:space="preserve">PAGE</w:instrText>
      <w:fldChar w:fldCharType="separate"/>
      <w:fldChar w:fldCharType="end"/>
      <w:t xml:space="preserve"> / 36</w:t>
    </w:r>
    <w:r>
      <w:rPr>
        <w:rFonts w:ascii="Calibri" w:cs="Calibri" w:eastAsia="Calibri" w:hAnsi="Calibri"/>
        <w:b w:val="false"/>
        <w:bCs w:val="false"/>
        <w:i w:val="false"/>
        <w:iCs w:val="false"/>
        <w:caps w:val="false"/>
        <w:color w:val="5B5B5B"/>
        <w:sz w:val="14"/>
        <w:szCs w:val="14"/>
      </w:rPr>
      <w:t xml:space="preserve">  ·  insights.africanrenaissancetrust.org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before="0"/>
      <w:jc w:val="left"/>
    </w:pPr>
    <w:r>
      <w:rPr>
        <w:rFonts w:ascii="Calibri" w:cs="Calibri" w:eastAsia="Calibri" w:hAnsi="Calibri"/>
        <w:b/>
        <w:bCs/>
        <w:i w:val="false"/>
        <w:iCs w:val="false"/>
        <w:caps/>
        <w:color w:val="1F2A2C"/>
        <w:sz w:val="16"/>
        <w:szCs w:val="16"/>
      </w:rPr>
      <w:t xml:space="preserve">AFRICAN RENAISSANCE TRUST</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val="false"/>
        <w:bCs w:val="false"/>
        <w:i w:val="false"/>
        <w:iCs w:val="false"/>
        <w:caps/>
        <w:color w:val="5B5B5B"/>
        <w:sz w:val="16"/>
        <w:szCs w:val="16"/>
      </w:rPr>
      <w:t xml:space="preserve">AU INTELLIGENCE SERIES</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bCs/>
        <w:i w:val="false"/>
        <w:iCs w:val="false"/>
        <w:caps/>
        <w:color w:val="944454"/>
        <w:sz w:val="16"/>
        <w:szCs w:val="16"/>
      </w:rPr>
      <w:t xml:space="preserve">GENDER EQUALITY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8251D"/>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Gender Data Gap — AU Intelligence Brief 34/30</dc:title>
  <dc:creator>African Renaissance Trust</dc:creator>
  <dc:description>Africa now has continental indicators on gender — but only nineteen national statistics offices can populate them on a consistent cycle</dc:description>
  <cp:lastModifiedBy>Un-named</cp:lastModifiedBy>
  <cp:revision>1</cp:revision>
  <dcterms:created xsi:type="dcterms:W3CDTF">2026-05-12T23:56:43.458Z</dcterms:created>
  <dcterms:modified xsi:type="dcterms:W3CDTF">2026-05-12T23:56:43.458Z</dcterms:modified>
</cp:coreProperties>
</file>

<file path=docProps/custom.xml><?xml version="1.0" encoding="utf-8"?>
<Properties xmlns="http://schemas.openxmlformats.org/officeDocument/2006/custom-properties" xmlns:vt="http://schemas.openxmlformats.org/officeDocument/2006/docPropsVTypes"/>
</file>