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35/36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Adolescent Girls and the Demographic Dividend</w:t>
      </w:r>
    </w:p>
    <w:p>
      <w:pPr>
        <w:spacing w:after="200" w:before="0" w:line="300"/>
        <w:jc w:val="left"/>
      </w:pPr>
      <w:r>
        <w:rPr>
          <w:rFonts w:ascii="Calibri" w:cs="Calibri" w:eastAsia="Calibri" w:hAnsi="Calibri"/>
          <w:b w:val="false"/>
          <w:bCs w:val="false"/>
          <w:i/>
          <w:iCs/>
          <w:caps w:val="false"/>
          <w:color w:val="944454"/>
          <w:sz w:val="24"/>
          <w:szCs w:val="24"/>
        </w:rPr>
        <w:t xml:space="preserve">Africa's working-age population will double to 1.1 billion by 2050 — whether the dividend is realised depends on the next decade of investment in adolescent girls</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By 2050, Africa will be home to roughly 1.1 billion people aged 15 to 64, up from approximately 740 million today. The continent will provide the majority of the world's net workforce growth for the next three decades — the largest demographic shift since post-war Asia. Economists at the African Development Bank estimate that capturing the full demographic dividend could add 0.5 to 1.5 percentage points to annual GDP growth across the continent. The condition is investment in human capital — particularly in adolescent girls aged 10 to 19, whose education, health, and labour-market entry will determine whether the dividend materialises or evaporates.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numbers on adolescent girls today are unforgiving. Across Sub-Saharan Africa, roughly 32% of girls aged 15 to 19 are married before 18. Adolescent fertility remains at 99 births per 1,000 girls aged 15 to 19 — more than twice the global average. Secondary-school completion for girls is approximately 41%. HIV incidence among adolescent girls and young women in eastern and southern Africa is two to three times that of their male peers. Each of these indicators is a leak in the human-capital pipeline that the demographic dividend is supposed to fill.</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continental response is now coherent. The AU Continental Education Strategy 2026–2035 sets a 75% target for girls' secondary completion. The Africa Health Strategy embeds adolescent-friendly health services as a primary-care benchmark. The AU Roadmap on Harnessing the Demographic Dividend, adopted in 2017 and renewed at the 2024 Summit, places adolescent girls at the centre of its four operational pillars — employment, education, health, and rights and governance. National Demographic Dividend Profiles now exist for 37 countries, each one quantifying the cost of inaction and the return on investment.</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financing gap is the binding constraint. The Africa Education Plus initiative, launched in 2024, estimates that closing the secondary-education gender gap alone requires an additional $9 billion annually across the continent. Adolescent reproductive-health programming requires another $3 billion. These are large numbers but not unmanageable ones — they sit within range of existing donor portfolios if rationalised, and they map onto specific institutional vehicles. The political coalition is already in place: ministries of finance, education, health, and gender are unusually aligned on the demographic-dividend frame.</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The demographic dividend is the closest thing the continent has to a single overarching investment frame for gender equality, education, and health combined. Adolescent girls sit at the intersection of all three. The institutional architecture — Roadmap, Strategy, Country Profiles — is in place; what is missing is portfolio-scale financing aligned to the ten-year window where adolescent girls today become the workforce of 2035.</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adolescent girls are the demographic dividend's decisive variable. The AU Roadmap, Education Strategy, and Country Profiles are in place; what is missing is portfolio-scale financing aligned to the ten-year window where today's adolescent girls become the workforce of 2035. Investments here compound across gender, education, and health portfolios simultaneously.</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Demographic frame</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African working-age population: 740 m → 1.1 bn by 2050</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Dividend potential</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+0.5 to +1.5 pp annual GDP growth if dividend captured (AfDB)</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Adolescent girls today</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32% married before 18 · 99 births/1,000 girls aged 15–19 · ~41% secondary completion</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Continental framework</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AU Roadmap on Demographic Dividend (renewed 2024) · Continental Education Strategy 2026–35</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Financing gap</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Closing girls' secondary gap: ~$9 bn/yr · adolescent reproductive health: ~$3 bn/yr</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“Adolescent Girls and the Demographic Dividend.” AU Intelligence Series, Institutional Briefing No. 35/36,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adolescent-girls-demographic-dividend · Pillar cluster index: 9/10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Girls and the Demographic Dividend — AU Intelligence Brief 35/30</dc:title>
  <dc:creator>African Renaissance Trust</dc:creator>
  <dc:description>Africa's working-age population will double to 1.1 billion by 2050 — whether the dividend is realised depends on the next decade of investment in adolescent girls</dc:description>
  <cp:lastModifiedBy>Un-named</cp:lastModifiedBy>
  <cp:revision>1</cp:revision>
  <dcterms:created xsi:type="dcterms:W3CDTF">2026-05-12T23:56:43.472Z</dcterms:created>
  <dcterms:modified xsi:type="dcterms:W3CDTF">2026-05-12T23:56:43.472Z</dcterms:modified>
</cp:coreProperties>
</file>

<file path=docProps/custom.xml><?xml version="1.0" encoding="utf-8"?>
<Properties xmlns="http://schemas.openxmlformats.org/officeDocument/2006/custom-properties" xmlns:vt="http://schemas.openxmlformats.org/officeDocument/2006/docPropsVTypes"/>
</file>