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36/36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Women, AfCFTA, and the Cross-Border Trade Protocol</w:t>
      </w:r>
    </w:p>
    <w:p>
      <w:pPr>
        <w:spacing w:after="200" w:before="0" w:line="300"/>
        <w:jc w:val="left"/>
      </w:pPr>
      <w:r>
        <w:rPr>
          <w:rFonts w:ascii="Calibri" w:cs="Calibri" w:eastAsia="Calibri" w:hAnsi="Calibri"/>
          <w:b w:val="false"/>
          <w:bCs w:val="false"/>
          <w:i/>
          <w:iCs/>
          <w:caps w:val="false"/>
          <w:color w:val="944454"/>
          <w:sz w:val="24"/>
          <w:szCs w:val="24"/>
        </w:rPr>
        <w:t xml:space="preserve">Women conduct an estimated 70% of informal cross-border trade in Africa — the new AfCFTA Protocol on Women and Youth in Trade could formalise it, or leave it behind</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Informal cross-border trade across Africa is estimated at between $17 and $40 billion annually — comparable to the formal export earnings of several mid-sized African economies. Across most regional corridors, women conduct between 60 and 80% of that trade: maize across the Great Lakes, fish across Lake Victoria, textiles across the Sahel, electronics across the SADC corridors. The traders are largely uncounted, untaxed, and unprotected — exposed to harassment, arbitrary seizures, and corruption at border crossings, with women facing documented sexual extortion at rates between 14 and 28% depending on corridor and season.</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AfCFTA Protocol on Women and Youth in Trade, adopted by AU Heads of State in February 2024 after four years of negotiation, is the first trade instrument anywhere globally to be drafted specifically around gender. Its 41 articles include commitments on Simplified Trade Regimes for low-value consignments, mutual recognition of professional qualifications, women-owned business set-asides in public procurement, gender-disaggregated trade data, and a continental Mediator on Gender and Trade. Ratification has been brisk by AU standards — sixteen states within the first eighteen months — but the Protocol enters into force only at twenty-two ratifications, and operationalisation will require both regulatory work and infrastructure investment at border posts.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Simplified Trade Regime is the most tractable component. Where implemented — at the Busia, Mpondwe, Kasumbalesa, and Beitbridge crossings, among others — STRs reduce documentation requirements for shipments below defined thresholds (typically $2,000), permit clearance in local currency, and shorten transit times from days to hours. Pilot evaluations in East Africa show 35 to 60% increases in formally recorded cross-border trade among women traders within twelve months of STR rollout. The instrument works. What it lacks is the financing to scale across the 84 priority border posts identified by the AfCFTA Secretariat.</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For continental partners, the AfCFTA Women and Youth Protocol is a rare convergence of trade policy, gender policy, and infrastructure investment. The Protocol creates the legal framework; the STR creates the operational instrument; the border posts are the physical infrastructure. Each layer can be financed separately or in combination. The political coalition includes the AfCFTA Secretariat, the Regional Economic Communities, the AU Women, Gender and Youth Directorate, and the AfDB's Gender Window — all of whom now treat the Protocol as a flagship.</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The AfCFTA Women and Youth Protocol is the most significant gender-economic instrument adopted on the continent in a generation. Its operational potential rests on three things: ratification, STR rollout, and border-post investment. None of these is glamorous; all of them are fundable; together they transform the legal status and economic visibility of millions of women traders. This is gender-equality work that happens at customs posts, not at conferences.</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the AfCFTA Women and Youth Protocol is the most significant gender-economic instrument adopted in a generation. Three financing layers are visible: ratification advocacy, Simplified Trade Regime rollout, and border-post infrastructure. Investing across the three transforms the legal status and economic visibility of the women who conduct most of Africa's cross-border trade.</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Trade volume</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Informal cross-border trade — $17–40 bn/yr · women conduct 60–80%</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Treaty instrument</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AfCFTA Protocol on Women and Youth in Trade (2024) — 41 articles · 22 ratifications needed for entry into force</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Operational tool</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Simplified Trade Regime — 35–60% uplift in formally recorded women's trade (12-month pilot data)</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Scale opportunity</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84 priority border posts identified by AfCFTA Secretariat</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Coalition</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AfCFTA Secretariat · RECs · AU Women, Gender and Youth Directorate · AfDB Gender Window</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“Women, AfCFTA, and the Cross-Border Trade Protocol.” AU Intelligence Series, Institutional Briefing No. 36/36,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women-afcfta-cross-border-trade · Pillar cluster index: 10/10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AfCFTA, and the Cross-Border Trade Protocol — AU Intelligence Brief 36/30</dc:title>
  <dc:creator>African Renaissance Trust</dc:creator>
  <dc:description>Women conduct an estimated 70% of informal cross-border trade in Africa — the new AfCFTA Protocol on Women and Youth in Trade could formalise it, or leave it behind</dc:description>
  <cp:lastModifiedBy>Un-named</cp:lastModifiedBy>
  <cp:revision>1</cp:revision>
  <dcterms:created xsi:type="dcterms:W3CDTF">2026-05-12T23:56:43.483Z</dcterms:created>
  <dcterms:modified xsi:type="dcterms:W3CDTF">2026-05-12T23:56:43.483Z</dcterms:modified>
</cp:coreProperties>
</file>

<file path=docProps/custom.xml><?xml version="1.0" encoding="utf-8"?>
<Properties xmlns="http://schemas.openxmlformats.org/officeDocument/2006/custom-properties" xmlns:vt="http://schemas.openxmlformats.org/officeDocument/2006/docPropsVTypes"/>
</file>