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12/36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Malawi Doubled Its Health Budget</w:t>
      </w:r>
    </w:p>
    <w:p>
      <w:pPr>
        <w:spacing w:after="200" w:before="0" w:line="300"/>
        <w:jc w:val="left"/>
      </w:pPr>
      <w:r>
        <w:rPr>
          <w:rFonts w:ascii="Calibri" w:cs="Calibri" w:eastAsia="Calibri" w:hAnsi="Calibri"/>
          <w:b w:val="false"/>
          <w:bCs w:val="false"/>
          <w:i/>
          <w:iCs/>
          <w:caps w:val="false"/>
          <w:color w:val="944454"/>
          <w:sz w:val="24"/>
          <w:szCs w:val="24"/>
        </w:rPr>
        <w:t xml:space="preserve">Four countries turned dialogues into fiscal instruments — protecting RMNCAH delivery platforms women and adolescents depend on</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Malawi's 2024 budget included something that surprised even optimistic health financing advocates: a doubling of the health sector allocation. Not a modest increase. Not an inflation adjustment. A full doubling, backed by an $80 million Program for Results financing model that ties disbursements to verified health outcomes rather than input spending. Malawi — one of Africa's poorest nations, heavily dependent on external health financing — decided to bet on itself.</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It was not alone. Zambia increased its health budget by twenty per cent and committed to reviewing its Public Financial Management and Public Procurement Acts specifically to improve health spending efficiency. When a country reforms its procurement law to accelerate health commodity purchasing, that is structural change, not political gesture.</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Kenya established the consolidated Social Health Authority, replacing the beleaguered National Health Insurance Fund. The SHA is designed to pool formal and informal sector contributions, expand coverage beyond the employed population, and create the risk-pooling mechanism that universal health coverage requires. The transition has been contentious — labour unions, private insurers, and county governments all have concerns — but the institutional architecture is now law.</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Burundi mandated a new national health insurance law. In a country emerging from decades of political instability and economic fragility, legislating health insurance is an act of institutional ambition that signals where the government believes the social contract must head.</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These are not isolated acts of political goodwill. Each emerged from a National Health Financing Dialogue conducted under the ALM framework. Each was framed within the ALM Declaration's four pillars. Each will be tracked on the continental scorecard and reported at the AU Executive Council. The pattern is consistent: continental declaration creates political obligation, national dialogue converts obligation into specific fiscal action, and continental monitoring ensures follow-through.</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sceptic's question is fair: will these commitments survive the next budget cycle, the next election, the next economic shock? The honest answer is: not automatically. But the ALM architecture introduces a friction that previous health financing commitments lacked. A president who doubles the health budget at an NHFD and then reverses it must explain the reversal not just to domestic constituencies but to fellow heads of state at the Assembly. Continental peer accountability is not a guarantee. But it is a constraint that did not exist before.</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ART tracked these fiscal movements across multiple Member States and presented them to the AU Assembly as evidence that the ALM model is producing measurable domestic financing gains — strengthening the political case for continued AU investment in the ALM architecture and creating peer pressure for lagging states.</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Malawi, Sierra Leone, Liberia, and Zambia demonstrate that national health financing dialogues are not consultative exercises — they produce enacted budget decisions. The political and fiscal coverage created by these dialogues protects the RMNCAH and reproductive-health delivery platforms women, adolescents, and children depend on.</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Country quartet</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Malawi · Sierra Leone · Liberia · Zambia</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Instrument</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National Health Financing Dialogues → enacted budget decisions</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Outcome</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Malawi doubled domestic health budget allocation</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“Malawi Doubled Its Health Budget.” AU Intelligence Series, Institutional Briefing No. 12/36,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malawi-doubled-health-budget · Pillar cluster index: 1/10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Malawi Doubled Its Health Budget — AU Intelligence Brief 12/30</dc:title>
  <dc:creator>African Renaissance Trust</dc:creator>
  <dc:description>Four countries turned dialogues into fiscal instruments — protecting RMNCAH delivery platforms women and adolescents depend on</dc:description>
  <cp:lastModifiedBy>Un-named</cp:lastModifiedBy>
  <cp:revision>1</cp:revision>
  <dcterms:created xsi:type="dcterms:W3CDTF">2026-05-12T23:56:43.144Z</dcterms:created>
  <dcterms:modified xsi:type="dcterms:W3CDTF">2026-05-12T23:56:43.144Z</dcterms:modified>
</cp:coreProperties>
</file>

<file path=docProps/custom.xml><?xml version="1.0" encoding="utf-8"?>
<Properties xmlns="http://schemas.openxmlformats.org/officeDocument/2006/custom-properties" xmlns:vt="http://schemas.openxmlformats.org/officeDocument/2006/docPropsVTypes"/>
</file>