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none" w:color="FFFFFF" w:sz="0"/>
              <w:left w:val="none" w:color="FFFFFF" w:sz="0"/>
              <w:bottom w:val="single" w:color="944454" w:sz="12"/>
              <w:right w:val="none" w:color="FFFFFF" w:sz="0"/>
            </w:tcBorders>
            <w:shd w:fill="FFFFFF" w:val="clear"/>
            <w:tcMar>
              <w:top w:type="dxa" w:w="60"/>
              <w:left w:type="dxa" w:w="0"/>
              <w:bottom w:type="dxa" w:w="60"/>
              <w:right w:type="dxa" w:w="0"/>
            </w:tcMar>
          </w:tcPr>
          <w:p>
            <w:pPr>
              <w:spacing w:after="60" w:before="0"/>
              <w:jc w:val="left"/>
            </w:pPr>
            <w:r>
              <w:rPr>
                <w:rFonts w:ascii="Calibri" w:cs="Calibri" w:eastAsia="Calibri" w:hAnsi="Calibri"/>
                <w:b/>
                <w:bCs/>
                <w:i w:val="false"/>
                <w:iCs w:val="false"/>
                <w:caps/>
                <w:color w:val="1F2A2C"/>
                <w:sz w:val="22"/>
                <w:szCs w:val="22"/>
              </w:rPr>
              <w:t xml:space="preserve">AFRICAN RENAISSANCE TRUST</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color w:val="5B5B5B"/>
                <w:sz w:val="22"/>
                <w:szCs w:val="22"/>
              </w:rPr>
              <w:t xml:space="preserve">INSTITUTIONAL BRIEFING</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val="false"/>
                <w:color w:val="944454"/>
                <w:sz w:val="22"/>
                <w:szCs w:val="22"/>
              </w:rPr>
              <w:t xml:space="preserve">No. 15/36</w:t>
            </w:r>
          </w:p>
          <w:p>
            <w:pPr>
              <w:spacing w:after="80" w:before="0"/>
              <w:jc w:val="left"/>
            </w:pPr>
            <w:r>
              <w:rPr>
                <w:rFonts w:ascii="Calibri" w:cs="Calibri" w:eastAsia="Calibri" w:hAnsi="Calibri"/>
                <w:b/>
                <w:bCs/>
                <w:i w:val="false"/>
                <w:iCs w:val="false"/>
                <w:caps/>
                <w:color w:val="944454"/>
                <w:sz w:val="18"/>
                <w:szCs w:val="18"/>
              </w:rPr>
              <w:t xml:space="preserve">GENDER EQUALITY</w:t>
            </w:r>
            <w:r>
              <w:rPr>
                <w:rFonts w:ascii="Calibri" w:cs="Calibri" w:eastAsia="Calibri" w:hAnsi="Calibri"/>
                <w:b w:val="false"/>
                <w:bCs w:val="false"/>
                <w:i w:val="false"/>
                <w:iCs w:val="false"/>
                <w:caps w:val="false"/>
                <w:color w:val="5B5B5B"/>
                <w:sz w:val="18"/>
                <w:szCs w:val="18"/>
              </w:rPr>
              <w:t xml:space="preserve">   |   </w:t>
            </w:r>
            <w:r>
              <w:rPr>
                <w:rFonts w:ascii="Calibri" w:cs="Calibri" w:eastAsia="Calibri" w:hAnsi="Calibri"/>
                <w:b w:val="false"/>
                <w:bCs w:val="false"/>
                <w:i/>
                <w:iCs/>
                <w:caps w:val="false"/>
                <w:color w:val="5B5B5B"/>
                <w:sz w:val="18"/>
                <w:szCs w:val="18"/>
              </w:rPr>
              <w:t xml:space="preserve">Rights · Representation · Decision-Making Architecture</w:t>
            </w:r>
          </w:p>
        </w:tc>
      </w:tr>
    </w:tbl>
    <w:p>
      <w:pPr>
        <w:spacing w:after="40" w:before="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rPr>
          <w:trHeight w:val="2592" w:hRule="atLeast"/>
        </w:trPr>
        <w:tc>
          <w:tcPr>
            <w:tcW w:type="dxa" w:w="9648"/>
            <w:tcBorders>
              <w:top w:val="dashed" w:color="D4D1CA" w:sz="6"/>
              <w:left w:val="dashed" w:color="D4D1CA" w:sz="6"/>
              <w:bottom w:val="dashed" w:color="D4D1CA" w:sz="6"/>
              <w:right w:val="dashed" w:color="D4D1CA" w:sz="6"/>
            </w:tcBorders>
            <w:shd w:fill="EFE9DA" w:val="clear"/>
            <w:tcMar>
              <w:top w:type="dxa" w:w="240"/>
              <w:left w:type="dxa" w:w="240"/>
              <w:bottom w:type="dxa" w:w="240"/>
              <w:right w:type="dxa" w:w="240"/>
            </w:tcMar>
            <w:vAlign w:val="center"/>
          </w:tcPr>
          <w:p>
            <w:pPr>
              <w:spacing w:after="40" w:before="0"/>
              <w:jc w:val="center"/>
            </w:pPr>
            <w:r>
              <w:rPr>
                <w:rFonts w:ascii="Calibri" w:cs="Calibri" w:eastAsia="Calibri" w:hAnsi="Calibri"/>
                <w:b/>
                <w:bCs/>
                <w:i w:val="false"/>
                <w:iCs w:val="false"/>
                <w:caps/>
                <w:color w:val="5B5B5B"/>
                <w:sz w:val="24"/>
                <w:szCs w:val="24"/>
              </w:rPr>
              <w:t xml:space="preserve">THUMBNAIL IMAGE</w:t>
            </w:r>
          </w:p>
          <w:p>
            <w:pPr>
              <w:spacing w:after="20" w:before="0"/>
              <w:jc w:val="center"/>
            </w:pPr>
            <w:r>
              <w:rPr>
                <w:rFonts w:ascii="Calibri" w:cs="Calibri" w:eastAsia="Calibri" w:hAnsi="Calibri"/>
                <w:b w:val="false"/>
                <w:bCs w:val="false"/>
                <w:i/>
                <w:iCs/>
                <w:caps w:val="false"/>
                <w:color w:val="5B5B5B"/>
                <w:sz w:val="18"/>
                <w:szCs w:val="18"/>
              </w:rPr>
              <w:t xml:space="preserve">Replace this placeholder with the featured image (1200 × 675 px recommended, 16:9).</w:t>
            </w:r>
          </w:p>
          <w:p>
            <w:pPr>
              <w:spacing w:after="0" w:before="0"/>
              <w:jc w:val="center"/>
            </w:pPr>
            <w:r>
              <w:rPr>
                <w:rFonts w:ascii="Calibri" w:cs="Calibri" w:eastAsia="Calibri" w:hAnsi="Calibri"/>
                <w:b w:val="false"/>
                <w:bCs w:val="false"/>
                <w:i w:val="false"/>
                <w:iCs w:val="false"/>
                <w:caps w:val="false"/>
                <w:color w:val="5B5B5B"/>
                <w:sz w:val="16"/>
                <w:szCs w:val="16"/>
              </w:rPr>
              <w:t xml:space="preserve">For WordPress upload: set the same image as the post Featured Image.</w:t>
            </w:r>
          </w:p>
        </w:tc>
      </w:tr>
    </w:tbl>
    <w:p>
      <w:pPr>
        <w:spacing w:after="80" w:before="280" w:line="280"/>
        <w:jc w:val="left"/>
      </w:pPr>
      <w:r>
        <w:rPr>
          <w:rFonts w:ascii="Calibri" w:cs="Calibri" w:eastAsia="Calibri" w:hAnsi="Calibri"/>
          <w:b/>
          <w:bCs/>
          <w:i w:val="false"/>
          <w:iCs w:val="false"/>
          <w:caps w:val="false"/>
          <w:color w:val="1F2A2C"/>
          <w:sz w:val="44"/>
          <w:szCs w:val="44"/>
        </w:rPr>
        <w:t xml:space="preserve">Feeding 1.4 Billion — CAADP's Reckoning</w:t>
      </w:r>
    </w:p>
    <w:p>
      <w:pPr>
        <w:spacing w:after="200" w:before="0" w:line="300"/>
        <w:jc w:val="left"/>
      </w:pPr>
      <w:r>
        <w:rPr>
          <w:rFonts w:ascii="Calibri" w:cs="Calibri" w:eastAsia="Calibri" w:hAnsi="Calibri"/>
          <w:b w:val="false"/>
          <w:bCs w:val="false"/>
          <w:i/>
          <w:iCs/>
          <w:caps w:val="false"/>
          <w:color w:val="944454"/>
          <w:sz w:val="24"/>
          <w:szCs w:val="24"/>
        </w:rPr>
        <w:t xml:space="preserve">No country has met the agricultural investment benchmark — and women smallholder farmers carry the cost</w:t>
      </w:r>
    </w:p>
    <w:p>
      <w:pPr>
        <w:pBdr>
          <w:bottom w:val="single" w:color="D4D1CA" w:sz="4" w:space="1"/>
        </w:pBdr>
        <w:spacing w:after="200" w:before="0"/>
      </w:pPr>
      <w: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216"/>
        <w:gridCol w:w="3216"/>
        <w:gridCol w:w="3216"/>
      </w:tblGrid>
      <w:tr>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SERIES</w:t>
            </w:r>
          </w:p>
          <w:p>
            <w:pPr>
              <w:spacing w:after="0" w:before="0"/>
              <w:jc w:val="left"/>
            </w:pPr>
            <w:r>
              <w:rPr>
                <w:rFonts w:ascii="Calibri" w:cs="Calibri" w:eastAsia="Calibri" w:hAnsi="Calibri"/>
                <w:b w:val="false"/>
                <w:bCs w:val="false"/>
                <w:i w:val="false"/>
                <w:iCs w:val="false"/>
                <w:caps w:val="false"/>
                <w:color w:val="28251D"/>
                <w:sz w:val="17"/>
                <w:szCs w:val="17"/>
              </w:rPr>
              <w:t xml:space="preserve">AU Intelligence · 36-Brief Series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AUDIENCE</w:t>
            </w:r>
          </w:p>
          <w:p>
            <w:pPr>
              <w:spacing w:after="0" w:before="0"/>
              <w:jc w:val="left"/>
            </w:pPr>
            <w:r>
              <w:rPr>
                <w:rFonts w:ascii="Calibri" w:cs="Calibri" w:eastAsia="Calibri" w:hAnsi="Calibri"/>
                <w:b w:val="false"/>
                <w:bCs w:val="false"/>
                <w:i w:val="false"/>
                <w:iCs w:val="false"/>
                <w:caps w:val="false"/>
                <w:color w:val="28251D"/>
                <w:sz w:val="17"/>
                <w:szCs w:val="17"/>
              </w:rPr>
              <w:t xml:space="preserve">Donor desks · Parliamentary committees · Ministerial offices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FORMAT</w:t>
            </w:r>
          </w:p>
          <w:p>
            <w:pPr>
              <w:spacing w:after="0" w:before="0"/>
              <w:jc w:val="left"/>
            </w:pPr>
            <w:r>
              <w:rPr>
                <w:rFonts w:ascii="Calibri" w:cs="Calibri" w:eastAsia="Calibri" w:hAnsi="Calibri"/>
                <w:b w:val="false"/>
                <w:bCs w:val="false"/>
                <w:i w:val="false"/>
                <w:iCs w:val="false"/>
                <w:caps w:val="false"/>
                <w:color w:val="28251D"/>
                <w:sz w:val="17"/>
                <w:szCs w:val="17"/>
              </w:rPr>
              <w:t xml:space="preserve">One-page institutional briefing · Tabling-ready</w:t>
            </w:r>
          </w:p>
        </w:tc>
      </w:tr>
    </w:tbl>
    <w:p>
      <w:pPr>
        <w:spacing w:after="60" w:before="0"/>
        <w:jc w:val="left"/>
      </w:pPr>
      <w:r>
        <w:rPr>
          <w:rFonts w:ascii="Calibri" w:cs="Calibri" w:eastAsia="Calibri" w:hAnsi="Calibri"/>
          <w:b w:val="false"/>
          <w:bCs w:val="false"/>
          <w:i w:val="false"/>
          <w:iCs w:val="false"/>
          <w:caps w:val="false"/>
          <w:color w:val="28251D"/>
          <w:sz w:val="8"/>
          <w:szCs w:val="8"/>
        </w:rPr>
        <w:t xml:space="preserve"> </w:t>
      </w:r>
    </w:p>
    <w:p>
      <w:pPr>
        <w:pBdr>
          <w:left w:val="single" w:color="944454" w:sz="18" w:space="12"/>
        </w:pBdr>
        <w:spacing w:after="160" w:before="120" w:line="320"/>
        <w:ind w:left="200"/>
      </w:pPr>
      <w:r>
        <w:rPr>
          <w:rFonts w:ascii="Calibri" w:cs="Calibri" w:eastAsia="Calibri" w:hAnsi="Calibri"/>
          <w:b w:val="false"/>
          <w:bCs w:val="false"/>
          <w:i w:val="false"/>
          <w:iCs w:val="false"/>
          <w:caps w:val="false"/>
          <w:color w:val="28251D"/>
          <w:sz w:val="23"/>
          <w:szCs w:val="23"/>
        </w:rPr>
        <w:t xml:space="preserve">The fifth Biennial Review of the Comprehensive Africa Agriculture Development Programme delivered a result that should unsettle every agricultural investment portfolio on the continent: the average score improved to 5.25, but not a single country reached the 9.40 benchmark that represents adequate progress toward food security and agricultural transformation targets. Thirty-five Member States advanced their scores. None crossed the finish line.</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CAADP, launched in 2003, asked African governments to commit ten per cent of public expenditure to agriculture — the Maputo Declaration target, reaffirmed at Malabo in 2014. More than two decades later, the continent's most important agricultural policy framework has produced incremental progress but not transformational change. Agriculture employs between twenty and seventy per cent of the workforce across different African nations and contributes ten to forty per cent of GDP. The sector's underinvestment is not a development failure — it is a structural choice with cascading health consequences.</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Malnutrition in all its forms — stunting, wasting, micronutrient deficiency, and increasingly obesity — is fundamentally an agricultural and food systems outcome. When governments underinvest in agriculture, the effects surface in paediatric wards, in maternal mortality statistics, and in the cognitive development trajectories of entire generations. The health sector cannot solve nutrition problems that originate in food systems.</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transition to the Kampala Declaration represents CAADP's attempt at reinvention. The new framework emphasises food systems transformation rather than agricultural production alone. It sets a $100 billion continental investment target by 2035. It integrates nutrition, sustainability, and climate resilience into the agricultural policy architecture — recognising that growing more food matters less if that food is nutritionally inadequate, environmentally destructive, or climate-vulnerable.</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$100 billion target is ambitious but directionally correct. Africa's food import bill exceeded $75 billion in 2025. The continent spends more importing food than it would cost to transform its agricultural systems. The arithmetic of sovereignty demands that this equation reverse.</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For health outcomes specifically, the CAADP-health connection runs through three channels: nutrition-sensitive agriculture that produces micronutrient-rich foods, food safety systems that reduce the burden of foodborne disease, and rural economic development that generates the household income from which health expenditure flows.</w:t>
      </w:r>
    </w:p>
    <w:p>
      <w:pPr>
        <w:spacing w:after="60" w:before="10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00696F" w:sz="6"/>
              <w:left w:val="single" w:color="00696F" w:sz="18"/>
              <w:bottom w:val="single" w:color="00696F" w:sz="6"/>
              <w:right w:val="single" w:color="00696F" w:sz="6"/>
            </w:tcBorders>
            <w:shd w:fill="E9F2F2"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00696F"/>
                <w:sz w:val="18"/>
                <w:szCs w:val="18"/>
              </w:rPr>
              <w:t xml:space="preserve">ART INSIGHT — Institutional Read</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ART ensures nutrition and food security data from CAADP biennial reviews is connected to health financing discussions at the STC on Health — preventing the siloing of agricultural investment from health outcomes reporting at the Assembly level. ART's cross-cutting mandate makes this integration possible.</w:t>
            </w:r>
          </w:p>
        </w:tc>
      </w:tr>
    </w:tbl>
    <w:p>
      <w:pPr>
        <w:spacing w:after="60" w:before="8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C8B2C" w:sz="6"/>
              <w:left w:val="single" w:color="BC8B2C" w:sz="18"/>
              <w:bottom w:val="single" w:color="BC8B2C" w:sz="6"/>
              <w:right w:val="single" w:color="BC8B2C" w:sz="6"/>
            </w:tcBorders>
            <w:shd w:fill="F7F0DC"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BC8B2C"/>
                <w:sz w:val="18"/>
                <w:szCs w:val="18"/>
              </w:rPr>
              <w:t xml:space="preserve">DONOR RELEVANCE — Decision Implication</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For donors, the Kampala Declaration on agriculture pulls food systems, nutrition, and rural livelihoods into the same accountability frame as health. Because women smallholders produce most of the continent’s food yet hold the least land tenure, capital placed in the agriculture–nutrition–gender interface compounds across multiple development outcomes simultaneously.</w:t>
            </w:r>
          </w:p>
        </w:tc>
      </w:tr>
    </w:tbl>
    <w:p>
      <w:pPr>
        <w:spacing w:after="60" w:before="240"/>
        <w:jc w:val="left"/>
      </w:pPr>
      <w:r>
        <w:rPr>
          <w:rFonts w:ascii="Calibri" w:cs="Calibri" w:eastAsia="Calibri" w:hAnsi="Calibri"/>
          <w:b/>
          <w:bCs/>
          <w:i w:val="false"/>
          <w:iCs w:val="false"/>
          <w:caps/>
          <w:color w:val="5B5B5B"/>
          <w:sz w:val="18"/>
          <w:szCs w:val="18"/>
        </w:rPr>
        <w:t xml:space="preserve">AT-A-GLANCE ANALYTICS</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087"/>
        <w:gridCol w:w="6560"/>
      </w:tblGrid>
      <w:tr>
        <w:tc>
          <w:tcPr>
            <w:tcW w:type="dxa" w:w="3087"/>
            <w:tcBorders>
              <w:top w:val="single" w:color="1F2A2C" w:sz="18"/>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Benchmark gap</w:t>
            </w:r>
          </w:p>
        </w:tc>
        <w:tc>
          <w:tcPr>
            <w:tcW w:type="dxa" w:w="6560"/>
            <w:tcBorders>
              <w:top w:val="single" w:color="1F2A2C" w:sz="18"/>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No country has met the Maputo 10% agricultural-investment target</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New framework</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Kampala Declaration raises bar to 2035 indicators</w:t>
            </w:r>
          </w:p>
        </w:tc>
      </w:tr>
      <w:tr>
        <w:tc>
          <w:tcPr>
            <w:tcW w:type="dxa" w:w="3087"/>
            <w:tcBorders>
              <w:top w:val="single" w:color="D4D1CA" w:sz="4"/>
              <w:left w:val="none" w:color="FFFFFF" w:sz="0"/>
              <w:bottom w:val="single" w:color="1F2A2C" w:sz="18"/>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Cross-sector linkage</w:t>
            </w:r>
          </w:p>
        </w:tc>
        <w:tc>
          <w:tcPr>
            <w:tcW w:type="dxa" w:w="6560"/>
            <w:tcBorders>
              <w:top w:val="single" w:color="D4D1CA" w:sz="4"/>
              <w:left w:val="single" w:color="D4D1CA" w:sz="4"/>
              <w:bottom w:val="single" w:color="1F2A2C" w:sz="18"/>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Agriculture–nutrition–health single accountability frame</w:t>
            </w:r>
          </w:p>
        </w:tc>
      </w:tr>
    </w:tbl>
    <w:p>
      <w:pPr>
        <w:pBdr>
          <w:bottom w:val="single" w:color="944454" w:sz="12" w:space="1"/>
        </w:pBdr>
        <w:spacing w:after="100" w:before="200"/>
      </w:pPr>
      <w:r>
        <w:t xml:space="preserve"> </w:t>
      </w:r>
    </w:p>
    <w:p>
      <w:pPr>
        <w:spacing w:after="80" w:before="0"/>
        <w:jc w:val="left"/>
      </w:pPr>
      <w:r>
        <w:rPr>
          <w:rFonts w:ascii="Calibri" w:cs="Calibri" w:eastAsia="Calibri" w:hAnsi="Calibri"/>
          <w:b/>
          <w:bCs/>
          <w:i w:val="false"/>
          <w:iCs w:val="false"/>
          <w:caps/>
          <w:color w:val="5B5B5B"/>
          <w:sz w:val="14"/>
          <w:szCs w:val="14"/>
        </w:rPr>
        <w:t xml:space="preserve">SUGGESTED CITATION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iCs/>
          <w:caps w:val="false"/>
          <w:color w:val="5B5B5B"/>
          <w:sz w:val="14"/>
          <w:szCs w:val="14"/>
        </w:rPr>
        <w:t xml:space="preserve">African Renaissance Trust (2026). “Feeding 1.4 Billion — CAADP's Reckoning.” AU Intelligence Series, Institutional Briefing No. 15/36, GENDER EQUALITY pillar. Available at africanrenaissancetrust.org/insights.</w:t>
      </w:r>
    </w:p>
    <w:p>
      <w:pPr>
        <w:spacing w:after="0" w:before="0"/>
        <w:jc w:val="left"/>
      </w:pPr>
      <w:r>
        <w:rPr>
          <w:rFonts w:ascii="Calibri" w:cs="Calibri" w:eastAsia="Calibri" w:hAnsi="Calibri"/>
          <w:b/>
          <w:bCs/>
          <w:i w:val="false"/>
          <w:iCs w:val="false"/>
          <w:caps/>
          <w:color w:val="5B5B5B"/>
          <w:sz w:val="14"/>
          <w:szCs w:val="14"/>
        </w:rPr>
        <w:t xml:space="preserve">FILE METADATA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val="false"/>
          <w:iCs w:val="false"/>
          <w:caps w:val="false"/>
          <w:color w:val="5B5B5B"/>
          <w:sz w:val="14"/>
          <w:szCs w:val="14"/>
        </w:rPr>
        <w:t xml:space="preserve">Slug: caadp-kampala-reckoning · Pillar cluster index: 2/10 · WordPress upload: Insights → Add New → Featured Image required.</w:t>
      </w:r>
    </w:p>
    <w:sectPr>
      <w:headerReference w:type="default" r:id="rId7"/>
      <w:footerReference w:type="default" r:id="rId8"/>
      <w:pgSz w:w="12240" w:h="15840"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Calibri" w:cs="Calibri" w:eastAsia="Calibri" w:hAnsi="Calibri"/>
        <w:b w:val="false"/>
        <w:bCs w:val="false"/>
        <w:i w:val="false"/>
        <w:iCs w:val="false"/>
        <w:caps w:val="false"/>
        <w:color w:val="5B5B5B"/>
        <w:sz w:val="14"/>
        <w:szCs w:val="14"/>
      </w:rPr>
      <w:t xml:space="preserve">© African Renaissance Trust 2026  ·  Institutional Briefing  ·  </w:t>
    </w:r>
    <w:r>
      <w:rPr>
        <w:rFonts w:ascii="Calibri" w:cs="Calibri" w:eastAsia="Calibri" w:hAnsi="Calibri"/>
        <w:color w:val="5B5B5B"/>
        <w:sz w:val="14"/>
        <w:szCs w:val="14"/>
      </w:rPr>
      <w:t xml:space="preserve">Brief </w:t>
      <w:fldChar w:fldCharType="begin"/>
      <w:instrText xml:space="preserve">PAGE</w:instrText>
      <w:fldChar w:fldCharType="separate"/>
      <w:fldChar w:fldCharType="end"/>
      <w:t xml:space="preserve"> / 36</w:t>
    </w:r>
    <w:r>
      <w:rPr>
        <w:rFonts w:ascii="Calibri" w:cs="Calibri" w:eastAsia="Calibri" w:hAnsi="Calibri"/>
        <w:b w:val="false"/>
        <w:bCs w:val="false"/>
        <w:i w:val="false"/>
        <w:iCs w:val="false"/>
        <w:caps w:val="false"/>
        <w:color w:val="5B5B5B"/>
        <w:sz w:val="14"/>
        <w:szCs w:val="14"/>
      </w:rPr>
      <w:t xml:space="preserve">  ·  insights.africanrenaissancetrust.org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60" w:before="0"/>
      <w:jc w:val="left"/>
    </w:pPr>
    <w:r>
      <w:rPr>
        <w:rFonts w:ascii="Calibri" w:cs="Calibri" w:eastAsia="Calibri" w:hAnsi="Calibri"/>
        <w:b/>
        <w:bCs/>
        <w:i w:val="false"/>
        <w:iCs w:val="false"/>
        <w:caps/>
        <w:color w:val="1F2A2C"/>
        <w:sz w:val="16"/>
        <w:szCs w:val="16"/>
      </w:rPr>
      <w:t xml:space="preserve">AFRICAN RENAISSANCE TRUST</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val="false"/>
        <w:bCs w:val="false"/>
        <w:i w:val="false"/>
        <w:iCs w:val="false"/>
        <w:caps/>
        <w:color w:val="5B5B5B"/>
        <w:sz w:val="16"/>
        <w:szCs w:val="16"/>
      </w:rPr>
      <w:t xml:space="preserve">AU INTELLIGENCE SERIES</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bCs/>
        <w:i w:val="false"/>
        <w:iCs w:val="false"/>
        <w:caps/>
        <w:color w:val="944454"/>
        <w:sz w:val="16"/>
        <w:szCs w:val="16"/>
      </w:rPr>
      <w:t xml:space="preserve">GENDER EQUALITY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Feeding 1.4 Billion — CAADP's Reckoning — AU Intelligence Brief 15/30</dc:title>
  <dc:creator>African Renaissance Trust</dc:creator>
  <dc:description>No country has met the agricultural investment benchmark — and women smallholder farmers carry the cost</dc:description>
  <cp:lastModifiedBy>Un-named</cp:lastModifiedBy>
  <cp:revision>1</cp:revision>
  <dcterms:created xsi:type="dcterms:W3CDTF">2026-05-12T23:56:43.182Z</dcterms:created>
  <dcterms:modified xsi:type="dcterms:W3CDTF">2026-05-12T23:56:43.182Z</dcterms:modified>
</cp:coreProperties>
</file>

<file path=docProps/custom.xml><?xml version="1.0" encoding="utf-8"?>
<Properties xmlns="http://schemas.openxmlformats.org/officeDocument/2006/custom-properties" xmlns:vt="http://schemas.openxmlformats.org/officeDocument/2006/docPropsVTypes"/>
</file>