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20/36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Gender Equity at the Decision Table</w:t>
      </w:r>
    </w:p>
    <w:p>
      <w:pPr>
        <w:spacing w:after="200" w:before="0" w:line="300"/>
        <w:jc w:val="left"/>
      </w:pPr>
      <w:r>
        <w:rPr>
          <w:rFonts w:ascii="Calibri" w:cs="Calibri" w:eastAsia="Calibri" w:hAnsi="Calibri"/>
          <w:b w:val="false"/>
          <w:bCs w:val="false"/>
          <w:i/>
          <w:iCs/>
          <w:caps w:val="false"/>
          <w:color w:val="944454"/>
          <w:sz w:val="24"/>
          <w:szCs w:val="24"/>
        </w:rPr>
        <w:t xml:space="preserve">Two breakfast meetings, one convention, and $2.5 billion reshaped Africa's gender architecture</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On February 13, 2026, at 7:30 AM in a conference room at AU headquarters, former Presidents Ellen Johnson Sirleaf and Olusegun Obasanjo co-hosted the 9th Eminent Women for Africa and African Women Leaders Network breakfast on empowering women in agriculture. Down the corridor, the Women, Gender, and Youth Directorate was organising a parallel session on financing and reaffirming Africa's gender commitments under AU Gender Champion President Mahama of Ghana.</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Two breakfast meetings on the same morning, addressing different dimensions of the same structural challenge: women constitute the majority of Africa's agricultural workforce, the majority of its community health workers, and the majority of its informal economy participants, yet remain systematically underrepresented in the decision architectures that govern agriculture, health, and trade policy.</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institutional progress is real. The Convention on Ending Violence Against Women and Girls was adopted in 2025 after years of sustained advocacy. This is treaty law — binding on ratifying states, creating reporting obligations, and establishing enforcement mechanisms. The Positive Masculinity Presidential Initiative, co-created within ART's directorate engagement, was walked from concept to Assembly adoption. The Gender Mainstreaming Framework developed by the Gender Coordination Forum for Gender Equality provides the operational architecture through which every AU department must demonstrate how its programmes address gender dimensions.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philanthropic and bilateral funders's $2.5 billion women's health R&amp;D commitment intersects directly with this continental architecture. The commitment targets research and development for health challenges disproportionately affecting women — maternal mortality, cervical cancer, contraceptive access, and nutritional interventions. But R&amp;D outcomes only reach women if the policy environment ensures access, affordability, and gender-responsive service delivery.</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That policy environment is built at the AU. When the Convention on Ending Violence Against Women and Girls creates legal obligations for gender-responsive health services, it creates the institutional demand for the products the donor community's R&amp;D investments produce. When the Gender Mainstreaming Framework requires health departments to track gender-disaggregated outcomes, it creates the reporting infrastructure that demonstrates whether donor-supported innovations are reaching women.</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connection between the donor community's R&amp;D pipeline and the AU's gender accountability framework is not automatic. It must be engineered — product by product, policy by policy, country by country.</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ART's gender mainstreaming work — from the Positive Masculinity Presidential Initiative to the Gender Coordination Forum's framework — demonstrates that gender equity is not a parallel workstream but an integrated dimension of every AU policy process ART supports. ART walked the Convention from drafting to adoption.</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the Maputo Protocol, the Gender Coordination Forum, and the $2.5 billion African Women’s Investment Fund are the new gender-equity instruments. Capital that runs through these frameworks becomes legible at the AU Assembly and visible in continental scorecards.</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Instruments</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Maputo Protocol · Gender Coordination Forum · $2.5 bn African Women’s Investment Fund</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Convening moments</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Two AU Summit breakfast meetings reshaped continental gender architecture</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Scorecard visibility</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Gender now an indicator inside continental scorecards</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“Gender Equity at the Decision Table.” AU Intelligence Series, Institutional Briefing No. 20/36,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gender-equity-decision-table · Pillar cluster index: 3/10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Equity at the Decision Table — AU Intelligence Brief 20/30</dc:title>
  <dc:creator>African Renaissance Trust</dc:creator>
  <dc:description>Two breakfast meetings, one convention, and $2.5 billion reshaped Africa's gender architecture</dc:description>
  <cp:lastModifiedBy>Un-named</cp:lastModifiedBy>
  <cp:revision>1</cp:revision>
  <dcterms:created xsi:type="dcterms:W3CDTF">2026-05-12T23:56:43.253Z</dcterms:created>
  <dcterms:modified xsi:type="dcterms:W3CDTF">2026-05-12T23:56:43.253Z</dcterms:modified>
</cp:coreProperties>
</file>

<file path=docProps/custom.xml><?xml version="1.0" encoding="utf-8"?>
<Properties xmlns="http://schemas.openxmlformats.org/officeDocument/2006/custom-properties" xmlns:vt="http://schemas.openxmlformats.org/officeDocument/2006/docPropsVTypes"/>
</file>