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none" w:color="FFFFFF" w:sz="0"/>
              <w:left w:val="none" w:color="FFFFFF" w:sz="0"/>
              <w:bottom w:val="single" w:color="944454" w:sz="12"/>
              <w:right w:val="none" w:color="FFFFFF" w:sz="0"/>
            </w:tcBorders>
            <w:shd w:fill="FFFFFF" w:val="clear"/>
            <w:tcMar>
              <w:top w:type="dxa" w:w="60"/>
              <w:left w:type="dxa" w:w="0"/>
              <w:bottom w:type="dxa" w:w="60"/>
              <w:right w:type="dxa" w:w="0"/>
            </w:tcMar>
          </w:tcPr>
          <w:p>
            <w:pPr>
              <w:spacing w:after="60" w:before="0"/>
              <w:jc w:val="left"/>
            </w:pPr>
            <w:r>
              <w:rPr>
                <w:rFonts w:ascii="Calibri" w:cs="Calibri" w:eastAsia="Calibri" w:hAnsi="Calibri"/>
                <w:b/>
                <w:bCs/>
                <w:i w:val="false"/>
                <w:iCs w:val="false"/>
                <w:caps/>
                <w:color w:val="1F2A2C"/>
                <w:sz w:val="22"/>
                <w:szCs w:val="22"/>
              </w:rPr>
              <w:t xml:space="preserve">AFRICAN RENAISSANCE TRUST</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color w:val="5B5B5B"/>
                <w:sz w:val="22"/>
                <w:szCs w:val="22"/>
              </w:rPr>
              <w:t xml:space="preserve">INSTITUTIONAL BRIEFING</w:t>
            </w:r>
            <w:r>
              <w:rPr>
                <w:rFonts w:ascii="Calibri" w:cs="Calibri" w:eastAsia="Calibri" w:hAnsi="Calibri"/>
                <w:b w:val="false"/>
                <w:bCs w:val="false"/>
                <w:i w:val="false"/>
                <w:iCs w:val="false"/>
                <w:caps w:val="false"/>
                <w:color w:val="5B5B5B"/>
                <w:sz w:val="22"/>
                <w:szCs w:val="22"/>
              </w:rPr>
              <w:t xml:space="preserve">   ·   </w:t>
            </w:r>
            <w:r>
              <w:rPr>
                <w:rFonts w:ascii="Calibri" w:cs="Calibri" w:eastAsia="Calibri" w:hAnsi="Calibri"/>
                <w:b/>
                <w:bCs/>
                <w:i w:val="false"/>
                <w:iCs w:val="false"/>
                <w:caps w:val="false"/>
                <w:color w:val="944454"/>
                <w:sz w:val="22"/>
                <w:szCs w:val="22"/>
              </w:rPr>
              <w:t xml:space="preserve">No. 26/36</w:t>
            </w:r>
          </w:p>
          <w:p>
            <w:pPr>
              <w:spacing w:after="80" w:before="0"/>
              <w:jc w:val="left"/>
            </w:pPr>
            <w:r>
              <w:rPr>
                <w:rFonts w:ascii="Calibri" w:cs="Calibri" w:eastAsia="Calibri" w:hAnsi="Calibri"/>
                <w:b/>
                <w:bCs/>
                <w:i w:val="false"/>
                <w:iCs w:val="false"/>
                <w:caps/>
                <w:color w:val="944454"/>
                <w:sz w:val="18"/>
                <w:szCs w:val="18"/>
              </w:rPr>
              <w:t xml:space="preserve">GENDER EQUALITY</w:t>
            </w:r>
            <w:r>
              <w:rPr>
                <w:rFonts w:ascii="Calibri" w:cs="Calibri" w:eastAsia="Calibri" w:hAnsi="Calibri"/>
                <w:b w:val="false"/>
                <w:bCs w:val="false"/>
                <w:i w:val="false"/>
                <w:iCs w:val="false"/>
                <w:caps w:val="false"/>
                <w:color w:val="5B5B5B"/>
                <w:sz w:val="18"/>
                <w:szCs w:val="18"/>
              </w:rPr>
              <w:t xml:space="preserve">   |   </w:t>
            </w:r>
            <w:r>
              <w:rPr>
                <w:rFonts w:ascii="Calibri" w:cs="Calibri" w:eastAsia="Calibri" w:hAnsi="Calibri"/>
                <w:b w:val="false"/>
                <w:bCs w:val="false"/>
                <w:i/>
                <w:iCs/>
                <w:caps w:val="false"/>
                <w:color w:val="5B5B5B"/>
                <w:sz w:val="18"/>
                <w:szCs w:val="18"/>
              </w:rPr>
              <w:t xml:space="preserve">Rights · Representation · Decision-Making Architecture</w:t>
            </w:r>
          </w:p>
        </w:tc>
      </w:tr>
    </w:tbl>
    <w:p>
      <w:pPr>
        <w:spacing w:after="40" w:before="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rPr>
          <w:trHeight w:val="2592" w:hRule="atLeast"/>
        </w:trPr>
        <w:tc>
          <w:tcPr>
            <w:tcW w:type="dxa" w:w="9648"/>
            <w:tcBorders>
              <w:top w:val="dashed" w:color="D4D1CA" w:sz="6"/>
              <w:left w:val="dashed" w:color="D4D1CA" w:sz="6"/>
              <w:bottom w:val="dashed" w:color="D4D1CA" w:sz="6"/>
              <w:right w:val="dashed" w:color="D4D1CA" w:sz="6"/>
            </w:tcBorders>
            <w:shd w:fill="EFE9DA" w:val="clear"/>
            <w:tcMar>
              <w:top w:type="dxa" w:w="240"/>
              <w:left w:type="dxa" w:w="240"/>
              <w:bottom w:type="dxa" w:w="240"/>
              <w:right w:type="dxa" w:w="240"/>
            </w:tcMar>
            <w:vAlign w:val="center"/>
          </w:tcPr>
          <w:p>
            <w:pPr>
              <w:spacing w:after="40" w:before="0"/>
              <w:jc w:val="center"/>
            </w:pPr>
            <w:r>
              <w:rPr>
                <w:rFonts w:ascii="Calibri" w:cs="Calibri" w:eastAsia="Calibri" w:hAnsi="Calibri"/>
                <w:b/>
                <w:bCs/>
                <w:i w:val="false"/>
                <w:iCs w:val="false"/>
                <w:caps/>
                <w:color w:val="5B5B5B"/>
                <w:sz w:val="24"/>
                <w:szCs w:val="24"/>
              </w:rPr>
              <w:t xml:space="preserve">THUMBNAIL IMAGE</w:t>
            </w:r>
          </w:p>
          <w:p>
            <w:pPr>
              <w:spacing w:after="20" w:before="0"/>
              <w:jc w:val="center"/>
            </w:pPr>
            <w:r>
              <w:rPr>
                <w:rFonts w:ascii="Calibri" w:cs="Calibri" w:eastAsia="Calibri" w:hAnsi="Calibri"/>
                <w:b w:val="false"/>
                <w:bCs w:val="false"/>
                <w:i/>
                <w:iCs/>
                <w:caps w:val="false"/>
                <w:color w:val="5B5B5B"/>
                <w:sz w:val="18"/>
                <w:szCs w:val="18"/>
              </w:rPr>
              <w:t xml:space="preserve">Replace this placeholder with the featured image (1200 × 675 px recommended, 16:9).</w:t>
            </w:r>
          </w:p>
          <w:p>
            <w:pPr>
              <w:spacing w:after="0" w:before="0"/>
              <w:jc w:val="center"/>
            </w:pPr>
            <w:r>
              <w:rPr>
                <w:rFonts w:ascii="Calibri" w:cs="Calibri" w:eastAsia="Calibri" w:hAnsi="Calibri"/>
                <w:b w:val="false"/>
                <w:bCs w:val="false"/>
                <w:i w:val="false"/>
                <w:iCs w:val="false"/>
                <w:caps w:val="false"/>
                <w:color w:val="5B5B5B"/>
                <w:sz w:val="16"/>
                <w:szCs w:val="16"/>
              </w:rPr>
              <w:t xml:space="preserve">For WordPress upload: set the same image as the post Featured Image.</w:t>
            </w:r>
          </w:p>
        </w:tc>
      </w:tr>
    </w:tbl>
    <w:p>
      <w:pPr>
        <w:spacing w:after="80" w:before="280" w:line="280"/>
        <w:jc w:val="left"/>
      </w:pPr>
      <w:r>
        <w:rPr>
          <w:rFonts w:ascii="Calibri" w:cs="Calibri" w:eastAsia="Calibri" w:hAnsi="Calibri"/>
          <w:b/>
          <w:bCs/>
          <w:i w:val="false"/>
          <w:iCs w:val="false"/>
          <w:caps w:val="false"/>
          <w:color w:val="1F2A2C"/>
          <w:sz w:val="44"/>
          <w:szCs w:val="44"/>
        </w:rPr>
        <w:t xml:space="preserve">Polio, WASH, and the Integration Imperative</w:t>
      </w:r>
    </w:p>
    <w:p>
      <w:pPr>
        <w:spacing w:after="200" w:before="0" w:line="300"/>
        <w:jc w:val="left"/>
      </w:pPr>
      <w:r>
        <w:rPr>
          <w:rFonts w:ascii="Calibri" w:cs="Calibri" w:eastAsia="Calibri" w:hAnsi="Calibri"/>
          <w:b w:val="false"/>
          <w:bCs w:val="false"/>
          <w:i/>
          <w:iCs/>
          <w:caps w:val="false"/>
          <w:color w:val="944454"/>
          <w:sz w:val="24"/>
          <w:szCs w:val="24"/>
        </w:rPr>
        <w:t xml:space="preserve">Standalone vertical programmes are a legacy model — the AU is moving to embedded approaches anchored in women's and children's health</w:t>
      </w:r>
    </w:p>
    <w:p>
      <w:pPr>
        <w:pBdr>
          <w:bottom w:val="single" w:color="D4D1CA" w:sz="4" w:space="1"/>
        </w:pBdr>
        <w:spacing w:after="200" w:before="0"/>
      </w:pPr>
      <w: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216"/>
        <w:gridCol w:w="3216"/>
        <w:gridCol w:w="3216"/>
      </w:tblGrid>
      <w:tr>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SERIES</w:t>
            </w:r>
          </w:p>
          <w:p>
            <w:pPr>
              <w:spacing w:after="0" w:before="0"/>
              <w:jc w:val="left"/>
            </w:pPr>
            <w:r>
              <w:rPr>
                <w:rFonts w:ascii="Calibri" w:cs="Calibri" w:eastAsia="Calibri" w:hAnsi="Calibri"/>
                <w:b w:val="false"/>
                <w:bCs w:val="false"/>
                <w:i w:val="false"/>
                <w:iCs w:val="false"/>
                <w:caps w:val="false"/>
                <w:color w:val="28251D"/>
                <w:sz w:val="17"/>
                <w:szCs w:val="17"/>
              </w:rPr>
              <w:t xml:space="preserve">AU Intelligence · 36-Brief Series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AUDIENCE</w:t>
            </w:r>
          </w:p>
          <w:p>
            <w:pPr>
              <w:spacing w:after="0" w:before="0"/>
              <w:jc w:val="left"/>
            </w:pPr>
            <w:r>
              <w:rPr>
                <w:rFonts w:ascii="Calibri" w:cs="Calibri" w:eastAsia="Calibri" w:hAnsi="Calibri"/>
                <w:b w:val="false"/>
                <w:bCs w:val="false"/>
                <w:i w:val="false"/>
                <w:iCs w:val="false"/>
                <w:caps w:val="false"/>
                <w:color w:val="28251D"/>
                <w:sz w:val="17"/>
                <w:szCs w:val="17"/>
              </w:rPr>
              <w:t xml:space="preserve">Donor desks · Parliamentary committees · Ministerial offices</w:t>
            </w:r>
          </w:p>
        </w:tc>
        <w:tc>
          <w:tcPr>
            <w:tcBorders>
              <w:top w:val="none" w:color="FFFFFF" w:sz="0"/>
              <w:left w:val="none" w:color="FFFFFF" w:sz="0"/>
              <w:bottom w:val="none" w:color="FFFFFF" w:sz="0"/>
              <w:right w:val="none" w:color="FFFFFF" w:sz="0"/>
            </w:tcBorders>
            <w:shd w:fill="F4F0E6" w:val="clear"/>
            <w:tcMar>
              <w:top w:type="dxa" w:w="100"/>
              <w:left w:type="dxa" w:w="140"/>
              <w:bottom w:type="dxa" w:w="100"/>
              <w:right w:type="dxa" w:w="140"/>
            </w:tcMar>
          </w:tcPr>
          <w:p>
            <w:pPr>
              <w:spacing w:after="20" w:before="0"/>
              <w:jc w:val="left"/>
            </w:pPr>
            <w:r>
              <w:rPr>
                <w:rFonts w:ascii="Calibri" w:cs="Calibri" w:eastAsia="Calibri" w:hAnsi="Calibri"/>
                <w:b/>
                <w:bCs/>
                <w:i w:val="false"/>
                <w:iCs w:val="false"/>
                <w:caps/>
                <w:color w:val="5B5B5B"/>
                <w:sz w:val="14"/>
                <w:szCs w:val="14"/>
              </w:rPr>
              <w:t xml:space="preserve">FORMAT</w:t>
            </w:r>
          </w:p>
          <w:p>
            <w:pPr>
              <w:spacing w:after="0" w:before="0"/>
              <w:jc w:val="left"/>
            </w:pPr>
            <w:r>
              <w:rPr>
                <w:rFonts w:ascii="Calibri" w:cs="Calibri" w:eastAsia="Calibri" w:hAnsi="Calibri"/>
                <w:b w:val="false"/>
                <w:bCs w:val="false"/>
                <w:i w:val="false"/>
                <w:iCs w:val="false"/>
                <w:caps w:val="false"/>
                <w:color w:val="28251D"/>
                <w:sz w:val="17"/>
                <w:szCs w:val="17"/>
              </w:rPr>
              <w:t xml:space="preserve">One-page institutional briefing · Tabling-ready</w:t>
            </w:r>
          </w:p>
        </w:tc>
      </w:tr>
    </w:tbl>
    <w:p>
      <w:pPr>
        <w:spacing w:after="60" w:before="0"/>
        <w:jc w:val="left"/>
      </w:pPr>
      <w:r>
        <w:rPr>
          <w:rFonts w:ascii="Calibri" w:cs="Calibri" w:eastAsia="Calibri" w:hAnsi="Calibri"/>
          <w:b w:val="false"/>
          <w:bCs w:val="false"/>
          <w:i w:val="false"/>
          <w:iCs w:val="false"/>
          <w:caps w:val="false"/>
          <w:color w:val="28251D"/>
          <w:sz w:val="8"/>
          <w:szCs w:val="8"/>
        </w:rPr>
        <w:t xml:space="preserve"> </w:t>
      </w:r>
    </w:p>
    <w:p>
      <w:pPr>
        <w:pBdr>
          <w:left w:val="single" w:color="944454" w:sz="18" w:space="12"/>
        </w:pBdr>
        <w:spacing w:after="160" w:before="120" w:line="320"/>
        <w:ind w:left="200"/>
      </w:pPr>
      <w:r>
        <w:rPr>
          <w:rFonts w:ascii="Calibri" w:cs="Calibri" w:eastAsia="Calibri" w:hAnsi="Calibri"/>
          <w:b w:val="false"/>
          <w:bCs w:val="false"/>
          <w:i w:val="false"/>
          <w:iCs w:val="false"/>
          <w:caps w:val="false"/>
          <w:color w:val="28251D"/>
          <w:sz w:val="23"/>
          <w:szCs w:val="23"/>
        </w:rPr>
        <w:t xml:space="preserve">At a side event during the 39th AU Summit, a senior UNICEF official made a confession that drew uncomfortable nods across the room: “We built separate supply chains for polio, routine immunisation, and WASH that sometimes delivered to the same village on different days using different vehicles carrying different budgets.” The laughter that followed was the kind that acknowledges a systemic failure everyone recognises but few have publicly named.</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AU is moving decisively toward integration. The Summit's side events on polio and WASH synergies, women's health in primary care, and health systems strengthening all converged on the same operational message: embedding interventions within resilient primary health care and universal health coverage frameworks produces better outcomes, lower costs, and stronger community ownership than running parallel delivery systems.</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evidence supports the shift. Polio surveillance networks — the community-based observers and laboratory systems that detect poliovirus — are also the most effective early warning system for other disease outbreaks. WASH infrastructure in health facilities directly affects maternal mortality, neonatal survival, and infection prevention. Nutritional interventions delivered through primary care reach women and children at the moments when impact is highest. Each vertical programme, when integrated into PHC/UHC platforms, amplifies the others.</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practical challenge is that integration requires rewiring institutional architecture. Donors structured their funding in verticals. National programmes are organised in verticals. Reporting systems track vertical indicators. The institutional muscle memory of global health is vertical, even as the evidence base for integration grows stronger with every systematic review.</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The AU's role is creating the continental policy framework that legitimises and accelerates integration at country level. When the Assembly endorses “malaria-smart” multi-sectoral approaches, it gives national governments political cover to reorganise their own health delivery systems. When the STC on Health recommends embedding WASH indicators within health system performance frameworks, it creates reporting obligations that connect water and health ministries.</w:t>
      </w:r>
    </w:p>
    <w:p>
      <w:pPr>
        <w:spacing w:after="140" w:before="100" w:line="300"/>
        <w:jc w:val="left"/>
      </w:pPr>
      <w:r>
        <w:rPr>
          <w:rFonts w:ascii="Calibri" w:cs="Calibri" w:eastAsia="Calibri" w:hAnsi="Calibri"/>
          <w:b w:val="false"/>
          <w:bCs w:val="false"/>
          <w:i w:val="false"/>
          <w:iCs w:val="false"/>
          <w:caps w:val="false"/>
          <w:color w:val="28251D"/>
          <w:sz w:val="21"/>
          <w:szCs w:val="21"/>
        </w:rPr>
        <w:t xml:space="preserve">For donor partners, the integration imperative demands an honest internal accounting. The donor community's own programme structure — global health, global development, gender equality, and growth-and-opportunity portfolios — creates internal boundaries that mirror the vertical architecture the AU is moving beyond. Donor country teams faces a dual challenge: aligning with the AU's integration agenda while navigating an internal structure that was built for a different era.</w:t>
      </w:r>
    </w:p>
    <w:p>
      <w:pPr>
        <w:spacing w:after="60" w:before="10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00696F" w:sz="6"/>
              <w:left w:val="single" w:color="00696F" w:sz="18"/>
              <w:bottom w:val="single" w:color="00696F" w:sz="6"/>
              <w:right w:val="single" w:color="00696F" w:sz="6"/>
            </w:tcBorders>
            <w:shd w:fill="E9F2F2"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00696F"/>
                <w:sz w:val="18"/>
                <w:szCs w:val="18"/>
              </w:rPr>
              <w:t xml:space="preserve">ART INSIGHT — Institutional Read</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ART ensures cross-cutting initiatives — where health, WASH, nutrition, and education intersect — are presented to the AU as integrated frameworks rather than competing vertical proposals. This reduces institutional fatigue and strengthens the donor community's collective positioning at every AU engagement point.</w:t>
            </w:r>
          </w:p>
        </w:tc>
      </w:tr>
    </w:tbl>
    <w:p>
      <w:pPr>
        <w:spacing w:after="60" w:before="80"/>
        <w:jc w:val="left"/>
      </w:pPr>
      <w:r>
        <w:rPr>
          <w:rFonts w:ascii="Calibri" w:cs="Calibri" w:eastAsia="Calibri" w:hAnsi="Calibri"/>
          <w:b w:val="false"/>
          <w:bCs w:val="false"/>
          <w:i w:val="false"/>
          <w:iCs w:val="false"/>
          <w:caps w:val="false"/>
          <w:color w:val="28251D"/>
          <w:sz w:val="8"/>
          <w:szCs w:val="8"/>
        </w:rPr>
        <w:t xml:space="preserve"> </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9648"/>
      </w:tblGrid>
      <w:tr>
        <w:tc>
          <w:tcPr>
            <w:tcW w:type="dxa" w:w="9648"/>
            <w:tcBorders>
              <w:top w:val="single" w:color="BC8B2C" w:sz="6"/>
              <w:left w:val="single" w:color="BC8B2C" w:sz="18"/>
              <w:bottom w:val="single" w:color="BC8B2C" w:sz="6"/>
              <w:right w:val="single" w:color="BC8B2C" w:sz="6"/>
            </w:tcBorders>
            <w:shd w:fill="F7F0DC" w:val="clear"/>
            <w:tcMar>
              <w:top w:type="dxa" w:w="200"/>
              <w:left w:type="dxa" w:w="240"/>
              <w:bottom w:type="dxa" w:w="200"/>
              <w:right w:type="dxa" w:w="240"/>
            </w:tcMar>
          </w:tcPr>
          <w:p>
            <w:pPr>
              <w:spacing w:after="60" w:before="0"/>
              <w:jc w:val="left"/>
            </w:pPr>
            <w:r>
              <w:rPr>
                <w:rFonts w:ascii="Calibri" w:cs="Calibri" w:eastAsia="Calibri" w:hAnsi="Calibri"/>
                <w:b/>
                <w:bCs/>
                <w:i w:val="false"/>
                <w:iCs w:val="false"/>
                <w:caps/>
                <w:color w:val="BC8B2C"/>
                <w:sz w:val="18"/>
                <w:szCs w:val="18"/>
              </w:rPr>
              <w:t xml:space="preserve">DONOR RELEVANCE — Decision Implication</w:t>
            </w:r>
          </w:p>
          <w:p>
            <w:pPr>
              <w:spacing w:after="0" w:before="0" w:line="290"/>
              <w:jc w:val="left"/>
            </w:pPr>
            <w:r>
              <w:rPr>
                <w:rFonts w:ascii="Calibri" w:cs="Calibri" w:eastAsia="Calibri" w:hAnsi="Calibri"/>
                <w:b w:val="false"/>
                <w:bCs w:val="false"/>
                <w:i w:val="false"/>
                <w:iCs w:val="false"/>
                <w:caps w:val="false"/>
                <w:color w:val="28251D"/>
                <w:sz w:val="20"/>
                <w:szCs w:val="20"/>
              </w:rPr>
              <w:t xml:space="preserve">For donors, the AU’s shift from vertical programmes to PHC-integrated approaches places women and children at the centre of every delivery platform — polio, WASH, immunisation, and nutrition all run through the same maternal-and-child contact points. Investments must follow the integration trend or be sidelined; gender-disaggregated outcome reporting is now a baseline expectation.</w:t>
            </w:r>
          </w:p>
        </w:tc>
      </w:tr>
    </w:tbl>
    <w:p>
      <w:pPr>
        <w:spacing w:after="60" w:before="240"/>
        <w:jc w:val="left"/>
      </w:pPr>
      <w:r>
        <w:rPr>
          <w:rFonts w:ascii="Calibri" w:cs="Calibri" w:eastAsia="Calibri" w:hAnsi="Calibri"/>
          <w:b/>
          <w:bCs/>
          <w:i w:val="false"/>
          <w:iCs w:val="false"/>
          <w:caps/>
          <w:color w:val="5B5B5B"/>
          <w:sz w:val="18"/>
          <w:szCs w:val="18"/>
        </w:rPr>
        <w:t xml:space="preserve">AT-A-GLANCE ANALYTICS</w:t>
      </w:r>
    </w:p>
    <w:tbl>
      <w:tblPr>
        <w:tblW w:type="dxa" w:w="9648"/>
        <w:tblBorders>
          <w:top w:val="single" w:color="auto" w:sz="4"/>
          <w:left w:val="single" w:color="auto" w:sz="4"/>
          <w:bottom w:val="single" w:color="auto" w:sz="4"/>
          <w:right w:val="single" w:color="auto" w:sz="4"/>
          <w:insideH w:val="single" w:color="auto" w:sz="4"/>
          <w:insideV w:val="single" w:color="auto" w:sz="4"/>
        </w:tblBorders>
      </w:tblPr>
      <w:tblGrid>
        <w:gridCol w:w="3087"/>
        <w:gridCol w:w="6560"/>
      </w:tblGrid>
      <w:tr>
        <w:tc>
          <w:tcPr>
            <w:tcW w:type="dxa" w:w="3087"/>
            <w:tcBorders>
              <w:top w:val="single" w:color="1F2A2C" w:sz="18"/>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Programmatic shift</w:t>
            </w:r>
          </w:p>
        </w:tc>
        <w:tc>
          <w:tcPr>
            <w:tcW w:type="dxa" w:w="6560"/>
            <w:tcBorders>
              <w:top w:val="single" w:color="1F2A2C" w:sz="18"/>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AU moving from vertical programmes to embedded PHC integration</w:t>
            </w:r>
          </w:p>
        </w:tc>
      </w:tr>
      <w:tr>
        <w:tc>
          <w:tcPr>
            <w:tcW w:type="dxa" w:w="3087"/>
            <w:tcBorders>
              <w:top w:val="single" w:color="D4D1CA" w:sz="4"/>
              <w:left w:val="none" w:color="FFFFFF" w:sz="0"/>
              <w:bottom w:val="single" w:color="D4D1CA" w:sz="4"/>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Affected verticals</w:t>
            </w:r>
          </w:p>
        </w:tc>
        <w:tc>
          <w:tcPr>
            <w:tcW w:type="dxa" w:w="6560"/>
            <w:tcBorders>
              <w:top w:val="single" w:color="D4D1CA" w:sz="4"/>
              <w:left w:val="single" w:color="D4D1CA" w:sz="4"/>
              <w:bottom w:val="single" w:color="D4D1CA" w:sz="4"/>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Polio · WASH · Immunisation · Nutrition</w:t>
            </w:r>
          </w:p>
        </w:tc>
      </w:tr>
      <w:tr>
        <w:tc>
          <w:tcPr>
            <w:tcW w:type="dxa" w:w="3087"/>
            <w:tcBorders>
              <w:top w:val="single" w:color="D4D1CA" w:sz="4"/>
              <w:left w:val="none" w:color="FFFFFF" w:sz="0"/>
              <w:bottom w:val="single" w:color="1F2A2C" w:sz="18"/>
              <w:right w:val="single" w:color="D4D1CA" w:sz="4"/>
            </w:tcBorders>
            <w:shd w:fill="FFFFFF" w:val="clear"/>
            <w:tcMar>
              <w:top w:type="dxa" w:w="100"/>
              <w:left w:type="dxa" w:w="0"/>
              <w:bottom w:type="dxa" w:w="100"/>
              <w:right w:type="dxa" w:w="100"/>
            </w:tcMar>
          </w:tcPr>
          <w:p>
            <w:pPr>
              <w:spacing w:after="0" w:before="0"/>
              <w:jc w:val="left"/>
            </w:pPr>
            <w:r>
              <w:rPr>
                <w:rFonts w:ascii="Calibri" w:cs="Calibri" w:eastAsia="Calibri" w:hAnsi="Calibri"/>
                <w:b/>
                <w:bCs/>
                <w:i w:val="false"/>
                <w:iCs w:val="false"/>
                <w:caps/>
                <w:color w:val="5B5B5B"/>
                <w:sz w:val="18"/>
                <w:szCs w:val="18"/>
              </w:rPr>
              <w:t xml:space="preserve">Investment posture</w:t>
            </w:r>
          </w:p>
        </w:tc>
        <w:tc>
          <w:tcPr>
            <w:tcW w:type="dxa" w:w="6560"/>
            <w:tcBorders>
              <w:top w:val="single" w:color="D4D1CA" w:sz="4"/>
              <w:left w:val="single" w:color="D4D1CA" w:sz="4"/>
              <w:bottom w:val="single" w:color="1F2A2C" w:sz="18"/>
              <w:right w:val="none" w:color="FFFFFF" w:sz="0"/>
            </w:tcBorders>
            <w:shd w:fill="FFFFFF" w:val="clear"/>
            <w:tcMar>
              <w:top w:type="dxa" w:w="100"/>
              <w:left w:type="dxa" w:w="140"/>
              <w:bottom w:type="dxa" w:w="100"/>
              <w:right w:type="dxa" w:w="0"/>
            </w:tcMar>
          </w:tcPr>
          <w:p>
            <w:pPr>
              <w:spacing w:after="0" w:before="0"/>
              <w:jc w:val="left"/>
            </w:pPr>
            <w:r>
              <w:rPr>
                <w:rFonts w:ascii="Calibri" w:cs="Calibri" w:eastAsia="Calibri" w:hAnsi="Calibri"/>
                <w:b w:val="false"/>
                <w:bCs w:val="false"/>
                <w:i w:val="false"/>
                <w:iCs w:val="false"/>
                <w:caps w:val="false"/>
                <w:color w:val="28251D"/>
                <w:sz w:val="19"/>
                <w:szCs w:val="19"/>
              </w:rPr>
              <w:t xml:space="preserve">Programmes that resist integration lose continental traction</w:t>
            </w:r>
          </w:p>
        </w:tc>
      </w:tr>
    </w:tbl>
    <w:p>
      <w:pPr>
        <w:pBdr>
          <w:bottom w:val="single" w:color="944454" w:sz="12" w:space="1"/>
        </w:pBdr>
        <w:spacing w:after="100" w:before="200"/>
      </w:pPr>
      <w:r>
        <w:t xml:space="preserve"> </w:t>
      </w:r>
    </w:p>
    <w:p>
      <w:pPr>
        <w:spacing w:after="80" w:before="0"/>
        <w:jc w:val="left"/>
      </w:pPr>
      <w:r>
        <w:rPr>
          <w:rFonts w:ascii="Calibri" w:cs="Calibri" w:eastAsia="Calibri" w:hAnsi="Calibri"/>
          <w:b/>
          <w:bCs/>
          <w:i w:val="false"/>
          <w:iCs w:val="false"/>
          <w:caps/>
          <w:color w:val="5B5B5B"/>
          <w:sz w:val="14"/>
          <w:szCs w:val="14"/>
        </w:rPr>
        <w:t xml:space="preserve">SUGGESTED CITATION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iCs/>
          <w:caps w:val="false"/>
          <w:color w:val="5B5B5B"/>
          <w:sz w:val="14"/>
          <w:szCs w:val="14"/>
        </w:rPr>
        <w:t xml:space="preserve">African Renaissance Trust (2026). “Polio, WASH, and the Integration Imperative.” AU Intelligence Series, Institutional Briefing No. 26/36, GENDER EQUALITY pillar. Available at africanrenaissancetrust.org/insights.</w:t>
      </w:r>
    </w:p>
    <w:p>
      <w:pPr>
        <w:spacing w:after="0" w:before="0"/>
        <w:jc w:val="left"/>
      </w:pPr>
      <w:r>
        <w:rPr>
          <w:rFonts w:ascii="Calibri" w:cs="Calibri" w:eastAsia="Calibri" w:hAnsi="Calibri"/>
          <w:b/>
          <w:bCs/>
          <w:i w:val="false"/>
          <w:iCs w:val="false"/>
          <w:caps/>
          <w:color w:val="5B5B5B"/>
          <w:sz w:val="14"/>
          <w:szCs w:val="14"/>
        </w:rPr>
        <w:t xml:space="preserve">FILE METADATA </w:t>
      </w:r>
      <w:r>
        <w:rPr>
          <w:rFonts w:ascii="Calibri" w:cs="Calibri" w:eastAsia="Calibri" w:hAnsi="Calibri"/>
          <w:b w:val="false"/>
          <w:bCs w:val="false"/>
          <w:i w:val="false"/>
          <w:iCs w:val="false"/>
          <w:caps w:val="false"/>
          <w:color w:val="5B5B5B"/>
          <w:sz w:val="14"/>
          <w:szCs w:val="14"/>
        </w:rPr>
        <w:t xml:space="preserve">— </w:t>
      </w:r>
      <w:r>
        <w:rPr>
          <w:rFonts w:ascii="Calibri" w:cs="Calibri" w:eastAsia="Calibri" w:hAnsi="Calibri"/>
          <w:b w:val="false"/>
          <w:bCs w:val="false"/>
          <w:i w:val="false"/>
          <w:iCs w:val="false"/>
          <w:caps w:val="false"/>
          <w:color w:val="5B5B5B"/>
          <w:sz w:val="14"/>
          <w:szCs w:val="14"/>
        </w:rPr>
        <w:t xml:space="preserve">Slug: polio-wash-integration · Pillar cluster index: 4/10 · WordPress upload: Insights → Add New → Featured Image required.</w:t>
      </w:r>
    </w:p>
    <w:sectPr>
      <w:headerReference w:type="default" r:id="rId7"/>
      <w:footerReference w:type="default" r:id="rId8"/>
      <w:pgSz w:w="12240" w:h="15840"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Calibri" w:cs="Calibri" w:eastAsia="Calibri" w:hAnsi="Calibri"/>
        <w:b w:val="false"/>
        <w:bCs w:val="false"/>
        <w:i w:val="false"/>
        <w:iCs w:val="false"/>
        <w:caps w:val="false"/>
        <w:color w:val="5B5B5B"/>
        <w:sz w:val="14"/>
        <w:szCs w:val="14"/>
      </w:rPr>
      <w:t xml:space="preserve">© African Renaissance Trust 2026  ·  Institutional Briefing  ·  </w:t>
    </w:r>
    <w:r>
      <w:rPr>
        <w:rFonts w:ascii="Calibri" w:cs="Calibri" w:eastAsia="Calibri" w:hAnsi="Calibri"/>
        <w:color w:val="5B5B5B"/>
        <w:sz w:val="14"/>
        <w:szCs w:val="14"/>
      </w:rPr>
      <w:t xml:space="preserve">Brief </w:t>
      <w:fldChar w:fldCharType="begin"/>
      <w:instrText xml:space="preserve">PAGE</w:instrText>
      <w:fldChar w:fldCharType="separate"/>
      <w:fldChar w:fldCharType="end"/>
      <w:t xml:space="preserve"> / 36</w:t>
    </w:r>
    <w:r>
      <w:rPr>
        <w:rFonts w:ascii="Calibri" w:cs="Calibri" w:eastAsia="Calibri" w:hAnsi="Calibri"/>
        <w:b w:val="false"/>
        <w:bCs w:val="false"/>
        <w:i w:val="false"/>
        <w:iCs w:val="false"/>
        <w:caps w:val="false"/>
        <w:color w:val="5B5B5B"/>
        <w:sz w:val="14"/>
        <w:szCs w:val="14"/>
      </w:rPr>
      <w:t xml:space="preserve">  ·  insights.africanrenaissancetrust.org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60" w:before="0"/>
      <w:jc w:val="left"/>
    </w:pPr>
    <w:r>
      <w:rPr>
        <w:rFonts w:ascii="Calibri" w:cs="Calibri" w:eastAsia="Calibri" w:hAnsi="Calibri"/>
        <w:b/>
        <w:bCs/>
        <w:i w:val="false"/>
        <w:iCs w:val="false"/>
        <w:caps/>
        <w:color w:val="1F2A2C"/>
        <w:sz w:val="16"/>
        <w:szCs w:val="16"/>
      </w:rPr>
      <w:t xml:space="preserve">AFRICAN RENAISSANCE TRUST</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val="false"/>
        <w:bCs w:val="false"/>
        <w:i w:val="false"/>
        <w:iCs w:val="false"/>
        <w:caps/>
        <w:color w:val="5B5B5B"/>
        <w:sz w:val="16"/>
        <w:szCs w:val="16"/>
      </w:rPr>
      <w:t xml:space="preserve">AU INTELLIGENCE SERIES</w:t>
    </w:r>
    <w:r>
      <w:rPr>
        <w:rFonts w:ascii="Calibri" w:cs="Calibri" w:eastAsia="Calibri" w:hAnsi="Calibri"/>
        <w:b w:val="false"/>
        <w:bCs w:val="false"/>
        <w:i w:val="false"/>
        <w:iCs w:val="false"/>
        <w:caps w:val="false"/>
        <w:color w:val="5B5B5B"/>
        <w:sz w:val="16"/>
        <w:szCs w:val="16"/>
      </w:rPr>
      <w:t xml:space="preserve">   ·   </w:t>
    </w:r>
    <w:r>
      <w:rPr>
        <w:rFonts w:ascii="Calibri" w:cs="Calibri" w:eastAsia="Calibri" w:hAnsi="Calibri"/>
        <w:b/>
        <w:bCs/>
        <w:i w:val="false"/>
        <w:iCs w:val="false"/>
        <w:caps/>
        <w:color w:val="944454"/>
        <w:sz w:val="16"/>
        <w:szCs w:val="16"/>
      </w:rPr>
      <w:t xml:space="preserve">GENDER EQUALITY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8251D"/>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Polio, WASH, and the Integration Imperative — AU Intelligence Brief 26/30</dc:title>
  <dc:creator>African Renaissance Trust</dc:creator>
  <dc:description>Standalone vertical programmes are a legacy model — the AU is moving to embedded approaches anchored in women's and children's health</dc:description>
  <cp:lastModifiedBy>Un-named</cp:lastModifiedBy>
  <cp:revision>1</cp:revision>
  <dcterms:created xsi:type="dcterms:W3CDTF">2026-05-12T23:56:43.339Z</dcterms:created>
  <dcterms:modified xsi:type="dcterms:W3CDTF">2026-05-12T23:56:43.339Z</dcterms:modified>
</cp:coreProperties>
</file>

<file path=docProps/custom.xml><?xml version="1.0" encoding="utf-8"?>
<Properties xmlns="http://schemas.openxmlformats.org/officeDocument/2006/custom-properties" xmlns:vt="http://schemas.openxmlformats.org/officeDocument/2006/docPropsVTypes"/>
</file>