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none" w:color="FFFFFF" w:sz="0"/>
              <w:left w:val="none" w:color="FFFFFF" w:sz="0"/>
              <w:bottom w:val="single" w:color="944454" w:sz="12"/>
              <w:right w:val="none" w:color="FFFFFF" w:sz="0"/>
            </w:tcBorders>
            <w:shd w:fill="FFFFFF" w:val="clear"/>
            <w:tcMar>
              <w:top w:type="dxa" w:w="60"/>
              <w:left w:type="dxa" w:w="0"/>
              <w:bottom w:type="dxa" w:w="60"/>
              <w:right w:type="dxa" w:w="0"/>
            </w:tcMar>
          </w:tcPr>
          <w:p>
            <w:pPr>
              <w:spacing w:after="60" w:before="0"/>
              <w:jc w:val="left"/>
            </w:pPr>
            <w:r>
              <w:rPr>
                <w:rFonts w:ascii="Calibri" w:cs="Calibri" w:eastAsia="Calibri" w:hAnsi="Calibri"/>
                <w:b/>
                <w:bCs/>
                <w:i w:val="false"/>
                <w:iCs w:val="false"/>
                <w:caps/>
                <w:color w:val="1F2A2C"/>
                <w:sz w:val="22"/>
                <w:szCs w:val="22"/>
              </w:rPr>
              <w:t xml:space="preserve">AFRICAN RENAISSANCE TRUST</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color w:val="5B5B5B"/>
                <w:sz w:val="22"/>
                <w:szCs w:val="22"/>
              </w:rPr>
              <w:t xml:space="preserve">INSTITUTIONAL BRIEFING</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val="false"/>
                <w:color w:val="944454"/>
                <w:sz w:val="22"/>
                <w:szCs w:val="22"/>
              </w:rPr>
              <w:t xml:space="preserve">No. 32/36</w:t>
            </w:r>
          </w:p>
          <w:p>
            <w:pPr>
              <w:spacing w:after="80" w:before="0"/>
              <w:jc w:val="left"/>
            </w:pPr>
            <w:r>
              <w:rPr>
                <w:rFonts w:ascii="Calibri" w:cs="Calibri" w:eastAsia="Calibri" w:hAnsi="Calibri"/>
                <w:b/>
                <w:bCs/>
                <w:i w:val="false"/>
                <w:iCs w:val="false"/>
                <w:caps/>
                <w:color w:val="944454"/>
                <w:sz w:val="18"/>
                <w:szCs w:val="18"/>
              </w:rPr>
              <w:t xml:space="preserve">GENDER EQUALITY</w:t>
            </w:r>
            <w:r>
              <w:rPr>
                <w:rFonts w:ascii="Calibri" w:cs="Calibri" w:eastAsia="Calibri" w:hAnsi="Calibri"/>
                <w:b w:val="false"/>
                <w:bCs w:val="false"/>
                <w:i w:val="false"/>
                <w:iCs w:val="false"/>
                <w:caps w:val="false"/>
                <w:color w:val="5B5B5B"/>
                <w:sz w:val="18"/>
                <w:szCs w:val="18"/>
              </w:rPr>
              <w:t xml:space="preserve">   |   </w:t>
            </w:r>
            <w:r>
              <w:rPr>
                <w:rFonts w:ascii="Calibri" w:cs="Calibri" w:eastAsia="Calibri" w:hAnsi="Calibri"/>
                <w:b w:val="false"/>
                <w:bCs w:val="false"/>
                <w:i/>
                <w:iCs/>
                <w:caps w:val="false"/>
                <w:color w:val="5B5B5B"/>
                <w:sz w:val="18"/>
                <w:szCs w:val="18"/>
              </w:rPr>
              <w:t xml:space="preserve">Rights · Representation · Decision-Making Architecture</w:t>
            </w:r>
          </w:p>
        </w:tc>
      </w:tr>
    </w:tbl>
    <w:p>
      <w:pPr>
        <w:spacing w:after="40" w:before="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rPr>
          <w:trHeight w:val="2592" w:hRule="atLeast"/>
        </w:trPr>
        <w:tc>
          <w:tcPr>
            <w:tcW w:type="dxa" w:w="9648"/>
            <w:tcBorders>
              <w:top w:val="dashed" w:color="D4D1CA" w:sz="6"/>
              <w:left w:val="dashed" w:color="D4D1CA" w:sz="6"/>
              <w:bottom w:val="dashed" w:color="D4D1CA" w:sz="6"/>
              <w:right w:val="dashed" w:color="D4D1CA" w:sz="6"/>
            </w:tcBorders>
            <w:shd w:fill="EFE9DA" w:val="clear"/>
            <w:tcMar>
              <w:top w:type="dxa" w:w="240"/>
              <w:left w:type="dxa" w:w="240"/>
              <w:bottom w:type="dxa" w:w="240"/>
              <w:right w:type="dxa" w:w="240"/>
            </w:tcMar>
            <w:vAlign w:val="center"/>
          </w:tcPr>
          <w:p>
            <w:pPr>
              <w:spacing w:after="40" w:before="0"/>
              <w:jc w:val="center"/>
            </w:pPr>
            <w:r>
              <w:rPr>
                <w:rFonts w:ascii="Calibri" w:cs="Calibri" w:eastAsia="Calibri" w:hAnsi="Calibri"/>
                <w:b/>
                <w:bCs/>
                <w:i w:val="false"/>
                <w:iCs w:val="false"/>
                <w:caps/>
                <w:color w:val="5B5B5B"/>
                <w:sz w:val="24"/>
                <w:szCs w:val="24"/>
              </w:rPr>
              <w:t xml:space="preserve">THUMBNAIL IMAGE</w:t>
            </w:r>
          </w:p>
          <w:p>
            <w:pPr>
              <w:spacing w:after="20" w:before="0"/>
              <w:jc w:val="center"/>
            </w:pPr>
            <w:r>
              <w:rPr>
                <w:rFonts w:ascii="Calibri" w:cs="Calibri" w:eastAsia="Calibri" w:hAnsi="Calibri"/>
                <w:b w:val="false"/>
                <w:bCs w:val="false"/>
                <w:i/>
                <w:iCs/>
                <w:caps w:val="false"/>
                <w:color w:val="5B5B5B"/>
                <w:sz w:val="18"/>
                <w:szCs w:val="18"/>
              </w:rPr>
              <w:t xml:space="preserve">Replace this placeholder with the featured image (1200 × 675 px recommended, 16:9).</w:t>
            </w:r>
          </w:p>
          <w:p>
            <w:pPr>
              <w:spacing w:after="0" w:before="0"/>
              <w:jc w:val="center"/>
            </w:pPr>
            <w:r>
              <w:rPr>
                <w:rFonts w:ascii="Calibri" w:cs="Calibri" w:eastAsia="Calibri" w:hAnsi="Calibri"/>
                <w:b w:val="false"/>
                <w:bCs w:val="false"/>
                <w:i w:val="false"/>
                <w:iCs w:val="false"/>
                <w:caps w:val="false"/>
                <w:color w:val="5B5B5B"/>
                <w:sz w:val="16"/>
                <w:szCs w:val="16"/>
              </w:rPr>
              <w:t xml:space="preserve">For WordPress upload: set the same image as the post Featured Image.</w:t>
            </w:r>
          </w:p>
        </w:tc>
      </w:tr>
    </w:tbl>
    <w:p>
      <w:pPr>
        <w:spacing w:after="80" w:before="280" w:line="280"/>
        <w:jc w:val="left"/>
      </w:pPr>
      <w:r>
        <w:rPr>
          <w:rFonts w:ascii="Calibri" w:cs="Calibri" w:eastAsia="Calibri" w:hAnsi="Calibri"/>
          <w:b/>
          <w:bCs/>
          <w:i w:val="false"/>
          <w:iCs w:val="false"/>
          <w:caps w:val="false"/>
          <w:color w:val="1F2A2C"/>
          <w:sz w:val="44"/>
          <w:szCs w:val="44"/>
        </w:rPr>
        <w:t xml:space="preserve">The Care Economy Line Item</w:t>
      </w:r>
    </w:p>
    <w:p>
      <w:pPr>
        <w:spacing w:after="200" w:before="0" w:line="300"/>
        <w:jc w:val="left"/>
      </w:pPr>
      <w:r>
        <w:rPr>
          <w:rFonts w:ascii="Calibri" w:cs="Calibri" w:eastAsia="Calibri" w:hAnsi="Calibri"/>
          <w:b w:val="false"/>
          <w:bCs w:val="false"/>
          <w:i/>
          <w:iCs/>
          <w:caps w:val="false"/>
          <w:color w:val="944454"/>
          <w:sz w:val="24"/>
          <w:szCs w:val="24"/>
        </w:rPr>
        <w:t xml:space="preserve">Women perform an estimated 71% of the continent's unpaid care work — recognition is becoming a fiscal-policy variable, not a slogan</w:t>
      </w:r>
    </w:p>
    <w:p>
      <w:pPr>
        <w:pBdr>
          <w:bottom w:val="single" w:color="D4D1CA" w:sz="4" w:space="1"/>
        </w:pBdr>
        <w:spacing w:after="200" w:before="0"/>
      </w:pPr>
      <w: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216"/>
        <w:gridCol w:w="3216"/>
        <w:gridCol w:w="3216"/>
      </w:tblGrid>
      <w:tr>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SERIES</w:t>
            </w:r>
          </w:p>
          <w:p>
            <w:pPr>
              <w:spacing w:after="0" w:before="0"/>
              <w:jc w:val="left"/>
            </w:pPr>
            <w:r>
              <w:rPr>
                <w:rFonts w:ascii="Calibri" w:cs="Calibri" w:eastAsia="Calibri" w:hAnsi="Calibri"/>
                <w:b w:val="false"/>
                <w:bCs w:val="false"/>
                <w:i w:val="false"/>
                <w:iCs w:val="false"/>
                <w:caps w:val="false"/>
                <w:color w:val="28251D"/>
                <w:sz w:val="17"/>
                <w:szCs w:val="17"/>
              </w:rPr>
              <w:t xml:space="preserve">AU Intelligence · 36-Brief Series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AUDIENCE</w:t>
            </w:r>
          </w:p>
          <w:p>
            <w:pPr>
              <w:spacing w:after="0" w:before="0"/>
              <w:jc w:val="left"/>
            </w:pPr>
            <w:r>
              <w:rPr>
                <w:rFonts w:ascii="Calibri" w:cs="Calibri" w:eastAsia="Calibri" w:hAnsi="Calibri"/>
                <w:b w:val="false"/>
                <w:bCs w:val="false"/>
                <w:i w:val="false"/>
                <w:iCs w:val="false"/>
                <w:caps w:val="false"/>
                <w:color w:val="28251D"/>
                <w:sz w:val="17"/>
                <w:szCs w:val="17"/>
              </w:rPr>
              <w:t xml:space="preserve">Donor desks · Parliamentary committees · Ministerial offices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FORMAT</w:t>
            </w:r>
          </w:p>
          <w:p>
            <w:pPr>
              <w:spacing w:after="0" w:before="0"/>
              <w:jc w:val="left"/>
            </w:pPr>
            <w:r>
              <w:rPr>
                <w:rFonts w:ascii="Calibri" w:cs="Calibri" w:eastAsia="Calibri" w:hAnsi="Calibri"/>
                <w:b w:val="false"/>
                <w:bCs w:val="false"/>
                <w:i w:val="false"/>
                <w:iCs w:val="false"/>
                <w:caps w:val="false"/>
                <w:color w:val="28251D"/>
                <w:sz w:val="17"/>
                <w:szCs w:val="17"/>
              </w:rPr>
              <w:t xml:space="preserve">One-page institutional briefing · Tabling-ready</w:t>
            </w:r>
          </w:p>
        </w:tc>
      </w:tr>
    </w:tbl>
    <w:p>
      <w:pPr>
        <w:spacing w:after="60" w:before="0"/>
        <w:jc w:val="left"/>
      </w:pPr>
      <w:r>
        <w:rPr>
          <w:rFonts w:ascii="Calibri" w:cs="Calibri" w:eastAsia="Calibri" w:hAnsi="Calibri"/>
          <w:b w:val="false"/>
          <w:bCs w:val="false"/>
          <w:i w:val="false"/>
          <w:iCs w:val="false"/>
          <w:caps w:val="false"/>
          <w:color w:val="28251D"/>
          <w:sz w:val="8"/>
          <w:szCs w:val="8"/>
        </w:rPr>
        <w:t xml:space="preserve"> </w:t>
      </w:r>
    </w:p>
    <w:p>
      <w:pPr>
        <w:pBdr>
          <w:left w:val="single" w:color="944454" w:sz="18" w:space="12"/>
        </w:pBdr>
        <w:spacing w:after="160" w:before="120" w:line="320"/>
        <w:ind w:left="200"/>
      </w:pPr>
      <w:r>
        <w:rPr>
          <w:rFonts w:ascii="Calibri" w:cs="Calibri" w:eastAsia="Calibri" w:hAnsi="Calibri"/>
          <w:b w:val="false"/>
          <w:bCs w:val="false"/>
          <w:i w:val="false"/>
          <w:iCs w:val="false"/>
          <w:caps w:val="false"/>
          <w:color w:val="28251D"/>
          <w:sz w:val="23"/>
          <w:szCs w:val="23"/>
        </w:rPr>
        <w:t xml:space="preserve">The International Labour Organization estimates that across Sub-Saharan Africa, women perform between 3.4 and 5.0 times as much unpaid care and domestic work as men — the widest gender care gap of any region globally. Translated into hours, that is roughly 4.5 hours per day for women against 1.0 for men. Translated into output, the ILO and UN Women jointly value the continent's unpaid care economy at the equivalent of 9 to 11% of GDP — larger than agriculture in many economies and roughly comparable to the entire formal health sector.</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Until recently, that calculation was a footnote in development reports. Three things have moved it onto ministerial desks. First, the AU Heads of State endorsed the Continental Care Strategy in 2025, the first such instrument anywhere globally, which requires member states to recognise, reduce, redistribute, and reward unpaid care work — the four-R framework drawn from ILO conventions. Second, Kenya, South Africa, Senegal, and Rwanda have now produced time-use surveys that allow national statistics offices to attach numbers to care work. Third, the AU's Gender Coordination Forum has begun to include a care-economy indicator in the continental scorecard, which forces visibility at the Assembly.</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fiscal consequences are unfolding fastest at municipal level. Bogotá-style "care blocks" — co-located childcare, eldercare, laundry, and skills training — are being piloted in Kigali, Cape Town, and Addis Ababa with municipal budgets ranging from $2 million to $14 million. Early evaluations show measurable increases in women's labour-force participation in pilot wards, in the order of 8 to 12 percentage points. The economic case is now sharper than the rights case: redistributing care unlocks formal-sector productivity that no other intervention reaches.</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What is missing is the financing architecture to scale these pilots into national programmes. Care work sits awkwardly between health, education, gender, and labour ministries; budget owners are diffuse; and donor portfolios remain organised by sectoral silo. Partners who can underwrite cross-ministerial care-economy instruments — particularly through ministries of finance rather than gender — will shape the next decade of women's economic participation on the continent.</w:t>
      </w:r>
    </w:p>
    <w:p>
      <w:pPr>
        <w:spacing w:after="60" w:before="10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00696F" w:sz="6"/>
              <w:left w:val="single" w:color="00696F" w:sz="18"/>
              <w:bottom w:val="single" w:color="00696F" w:sz="6"/>
              <w:right w:val="single" w:color="00696F" w:sz="6"/>
            </w:tcBorders>
            <w:shd w:fill="E9F2F2"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00696F"/>
                <w:sz w:val="18"/>
                <w:szCs w:val="18"/>
              </w:rPr>
              <w:t xml:space="preserve">ART INSIGHT — Institutional Read</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Care economy reform is the unusual case where the rights argument and the productivity argument point in the same direction. The Continental Care Strategy creates the policy hook; municipal pilots create the proof points; what is missing is a financing vehicle that can move the agenda from gender ministries to finance ministries — where care becomes a line item, not a programme.</w:t>
            </w:r>
          </w:p>
        </w:tc>
      </w:tr>
    </w:tbl>
    <w:p>
      <w:pPr>
        <w:spacing w:after="60" w:before="8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C8B2C" w:sz="6"/>
              <w:left w:val="single" w:color="BC8B2C" w:sz="18"/>
              <w:bottom w:val="single" w:color="BC8B2C" w:sz="6"/>
              <w:right w:val="single" w:color="BC8B2C" w:sz="6"/>
            </w:tcBorders>
            <w:shd w:fill="F7F0DC"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BC8B2C"/>
                <w:sz w:val="18"/>
                <w:szCs w:val="18"/>
              </w:rPr>
              <w:t xml:space="preserve">DONOR RELEVANCE — Decision Implication</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For donors, care-economy investment is the unusual case where rights and productivity arguments converge. The Continental Care Strategy creates the policy hook; municipal pilots in Kigali, Cape Town, and Addis Ababa create the proof points. Capital placed through ministries of finance rather than gender ministries will turn care from a programme into a fiscal line item — and unlock women's labour-force participation at scale.</w:t>
            </w:r>
          </w:p>
        </w:tc>
      </w:tr>
    </w:tbl>
    <w:p>
      <w:pPr>
        <w:spacing w:after="60" w:before="240"/>
        <w:jc w:val="left"/>
      </w:pPr>
      <w:r>
        <w:rPr>
          <w:rFonts w:ascii="Calibri" w:cs="Calibri" w:eastAsia="Calibri" w:hAnsi="Calibri"/>
          <w:b/>
          <w:bCs/>
          <w:i w:val="false"/>
          <w:iCs w:val="false"/>
          <w:caps/>
          <w:color w:val="5B5B5B"/>
          <w:sz w:val="18"/>
          <w:szCs w:val="18"/>
        </w:rPr>
        <w:t xml:space="preserve">AT-A-GLANCE ANALYTICS</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087"/>
        <w:gridCol w:w="6560"/>
      </w:tblGrid>
      <w:tr>
        <w:tc>
          <w:tcPr>
            <w:tcW w:type="dxa" w:w="3087"/>
            <w:tcBorders>
              <w:top w:val="single" w:color="1F2A2C" w:sz="18"/>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Care gap</w:t>
            </w:r>
          </w:p>
        </w:tc>
        <w:tc>
          <w:tcPr>
            <w:tcW w:type="dxa" w:w="6560"/>
            <w:tcBorders>
              <w:top w:val="single" w:color="1F2A2C" w:sz="18"/>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Women perform 3.4–5.0× more unpaid care work than men in Sub-Saharan Africa</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Economic value</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Unpaid care economy worth 9–11% of African GDP (ILO/UN Women)</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Policy instrument</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AU Continental Care Strategy (2025) — Recognise · Reduce · Redistribute · Reward</w:t>
            </w:r>
          </w:p>
        </w:tc>
      </w:tr>
      <w:tr>
        <w:tc>
          <w:tcPr>
            <w:tcW w:type="dxa" w:w="3087"/>
            <w:tcBorders>
              <w:top w:val="single" w:color="D4D1CA" w:sz="4"/>
              <w:left w:val="none" w:color="FFFFFF" w:sz="0"/>
              <w:bottom w:val="single" w:color="1F2A2C" w:sz="18"/>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Municipal pilots</w:t>
            </w:r>
          </w:p>
        </w:tc>
        <w:tc>
          <w:tcPr>
            <w:tcW w:type="dxa" w:w="6560"/>
            <w:tcBorders>
              <w:top w:val="single" w:color="D4D1CA" w:sz="4"/>
              <w:left w:val="single" w:color="D4D1CA" w:sz="4"/>
              <w:bottom w:val="single" w:color="1F2A2C" w:sz="18"/>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Care blocks live in Kigali, Cape Town, Addis Ababa — 8–12 pp uplift in women's labour-force participation</w:t>
            </w:r>
          </w:p>
        </w:tc>
      </w:tr>
    </w:tbl>
    <w:p>
      <w:pPr>
        <w:pBdr>
          <w:bottom w:val="single" w:color="944454" w:sz="12" w:space="1"/>
        </w:pBdr>
        <w:spacing w:after="100" w:before="200"/>
      </w:pPr>
      <w:r>
        <w:t xml:space="preserve"> </w:t>
      </w:r>
    </w:p>
    <w:p>
      <w:pPr>
        <w:spacing w:after="80" w:before="0"/>
        <w:jc w:val="left"/>
      </w:pPr>
      <w:r>
        <w:rPr>
          <w:rFonts w:ascii="Calibri" w:cs="Calibri" w:eastAsia="Calibri" w:hAnsi="Calibri"/>
          <w:b/>
          <w:bCs/>
          <w:i w:val="false"/>
          <w:iCs w:val="false"/>
          <w:caps/>
          <w:color w:val="5B5B5B"/>
          <w:sz w:val="14"/>
          <w:szCs w:val="14"/>
        </w:rPr>
        <w:t xml:space="preserve">SUGGESTED CITATION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iCs/>
          <w:caps w:val="false"/>
          <w:color w:val="5B5B5B"/>
          <w:sz w:val="14"/>
          <w:szCs w:val="14"/>
        </w:rPr>
        <w:t xml:space="preserve">African Renaissance Trust (2026). “The Care Economy Line Item.” AU Intelligence Series, Institutional Briefing No. 32/36, GENDER EQUALITY pillar. Available at africanrenaissancetrust.org/insights.</w:t>
      </w:r>
    </w:p>
    <w:p>
      <w:pPr>
        <w:spacing w:after="0" w:before="0"/>
        <w:jc w:val="left"/>
      </w:pPr>
      <w:r>
        <w:rPr>
          <w:rFonts w:ascii="Calibri" w:cs="Calibri" w:eastAsia="Calibri" w:hAnsi="Calibri"/>
          <w:b/>
          <w:bCs/>
          <w:i w:val="false"/>
          <w:iCs w:val="false"/>
          <w:caps/>
          <w:color w:val="5B5B5B"/>
          <w:sz w:val="14"/>
          <w:szCs w:val="14"/>
        </w:rPr>
        <w:t xml:space="preserve">FILE METADATA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val="false"/>
          <w:iCs w:val="false"/>
          <w:caps w:val="false"/>
          <w:color w:val="5B5B5B"/>
          <w:sz w:val="14"/>
          <w:szCs w:val="14"/>
        </w:rPr>
        <w:t xml:space="preserve">Slug: care-economy-line-item · Pillar cluster index: 6/10 · WordPress upload: Insights → Add New → Featured Image required.</w:t>
      </w:r>
    </w:p>
    <w:sectPr>
      <w:headerReference w:type="default" r:id="rId7"/>
      <w:footerReference w:type="default" r:id="rId8"/>
      <w:pgSz w:w="12240" w:h="15840"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Calibri" w:cs="Calibri" w:eastAsia="Calibri" w:hAnsi="Calibri"/>
        <w:b w:val="false"/>
        <w:bCs w:val="false"/>
        <w:i w:val="false"/>
        <w:iCs w:val="false"/>
        <w:caps w:val="false"/>
        <w:color w:val="5B5B5B"/>
        <w:sz w:val="14"/>
        <w:szCs w:val="14"/>
      </w:rPr>
      <w:t xml:space="preserve">© African Renaissance Trust 2026  ·  Institutional Briefing  ·  </w:t>
    </w:r>
    <w:r>
      <w:rPr>
        <w:rFonts w:ascii="Calibri" w:cs="Calibri" w:eastAsia="Calibri" w:hAnsi="Calibri"/>
        <w:color w:val="5B5B5B"/>
        <w:sz w:val="14"/>
        <w:szCs w:val="14"/>
      </w:rPr>
      <w:t xml:space="preserve">Brief </w:t>
      <w:fldChar w:fldCharType="begin"/>
      <w:instrText xml:space="preserve">PAGE</w:instrText>
      <w:fldChar w:fldCharType="separate"/>
      <w:fldChar w:fldCharType="end"/>
      <w:t xml:space="preserve"> / 36</w:t>
    </w:r>
    <w:r>
      <w:rPr>
        <w:rFonts w:ascii="Calibri" w:cs="Calibri" w:eastAsia="Calibri" w:hAnsi="Calibri"/>
        <w:b w:val="false"/>
        <w:bCs w:val="false"/>
        <w:i w:val="false"/>
        <w:iCs w:val="false"/>
        <w:caps w:val="false"/>
        <w:color w:val="5B5B5B"/>
        <w:sz w:val="14"/>
        <w:szCs w:val="14"/>
      </w:rPr>
      <w:t xml:space="preserve">  ·  insights.africanrenaissancetrust.org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60" w:before="0"/>
      <w:jc w:val="left"/>
    </w:pPr>
    <w:r>
      <w:rPr>
        <w:rFonts w:ascii="Calibri" w:cs="Calibri" w:eastAsia="Calibri" w:hAnsi="Calibri"/>
        <w:b/>
        <w:bCs/>
        <w:i w:val="false"/>
        <w:iCs w:val="false"/>
        <w:caps/>
        <w:color w:val="1F2A2C"/>
        <w:sz w:val="16"/>
        <w:szCs w:val="16"/>
      </w:rPr>
      <w:t xml:space="preserve">AFRICAN RENAISSANCE TRUST</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val="false"/>
        <w:bCs w:val="false"/>
        <w:i w:val="false"/>
        <w:iCs w:val="false"/>
        <w:caps/>
        <w:color w:val="5B5B5B"/>
        <w:sz w:val="16"/>
        <w:szCs w:val="16"/>
      </w:rPr>
      <w:t xml:space="preserve">AU INTELLIGENCE SERIES</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bCs/>
        <w:i w:val="false"/>
        <w:iCs w:val="false"/>
        <w:caps/>
        <w:color w:val="944454"/>
        <w:sz w:val="16"/>
        <w:szCs w:val="16"/>
      </w:rPr>
      <w:t xml:space="preserve">GENDER EQUALITY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8251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Care Economy Line Item — AU Intelligence Brief 32/30</dc:title>
  <dc:creator>African Renaissance Trust</dc:creator>
  <dc:description>Women perform an estimated 71% of the continent's unpaid care work — recognition is becoming a fiscal-policy variable, not a slogan</dc:description>
  <cp:lastModifiedBy>Un-named</cp:lastModifiedBy>
  <cp:revision>1</cp:revision>
  <dcterms:created xsi:type="dcterms:W3CDTF">2026-05-12T23:56:43.419Z</dcterms:created>
  <dcterms:modified xsi:type="dcterms:W3CDTF">2026-05-12T23:56:43.419Z</dcterms:modified>
</cp:coreProperties>
</file>

<file path=docProps/custom.xml><?xml version="1.0" encoding="utf-8"?>
<Properties xmlns="http://schemas.openxmlformats.org/officeDocument/2006/custom-properties" xmlns:vt="http://schemas.openxmlformats.org/officeDocument/2006/docPropsVTypes"/>
</file>