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648"/>
        <w:tblBorders>
          <w:top w:val="single" w:color="auto" w:sz="4"/>
          <w:left w:val="single" w:color="auto" w:sz="4"/>
          <w:bottom w:val="single" w:color="auto" w:sz="4"/>
          <w:right w:val="single" w:color="auto" w:sz="4"/>
          <w:insideH w:val="single" w:color="auto" w:sz="4"/>
          <w:insideV w:val="single" w:color="auto" w:sz="4"/>
        </w:tblBorders>
      </w:tblPr>
      <w:tblGrid>
        <w:gridCol w:w="9648"/>
      </w:tblGrid>
      <w:tr>
        <w:tc>
          <w:tcPr>
            <w:tcW w:type="dxa" w:w="9648"/>
            <w:tcBorders>
              <w:top w:val="none" w:color="FFFFFF" w:sz="0"/>
              <w:left w:val="none" w:color="FFFFFF" w:sz="0"/>
              <w:bottom w:val="single" w:color="944454" w:sz="12"/>
              <w:right w:val="none" w:color="FFFFFF" w:sz="0"/>
            </w:tcBorders>
            <w:shd w:fill="FFFFFF" w:val="clear"/>
            <w:tcMar>
              <w:top w:type="dxa" w:w="60"/>
              <w:left w:type="dxa" w:w="0"/>
              <w:bottom w:type="dxa" w:w="60"/>
              <w:right w:type="dxa" w:w="0"/>
            </w:tcMar>
          </w:tcPr>
          <w:p>
            <w:pPr>
              <w:spacing w:after="60" w:before="0"/>
              <w:jc w:val="left"/>
            </w:pPr>
            <w:r>
              <w:rPr>
                <w:rFonts w:ascii="Calibri" w:cs="Calibri" w:eastAsia="Calibri" w:hAnsi="Calibri"/>
                <w:b/>
                <w:bCs/>
                <w:i w:val="false"/>
                <w:iCs w:val="false"/>
                <w:caps/>
                <w:color w:val="1F2A2C"/>
                <w:sz w:val="22"/>
                <w:szCs w:val="22"/>
              </w:rPr>
              <w:t xml:space="preserve">AFRICAN RENAISSANCE TRUST</w:t>
            </w:r>
            <w:r>
              <w:rPr>
                <w:rFonts w:ascii="Calibri" w:cs="Calibri" w:eastAsia="Calibri" w:hAnsi="Calibri"/>
                <w:b w:val="false"/>
                <w:bCs w:val="false"/>
                <w:i w:val="false"/>
                <w:iCs w:val="false"/>
                <w:caps w:val="false"/>
                <w:color w:val="5B5B5B"/>
                <w:sz w:val="22"/>
                <w:szCs w:val="22"/>
              </w:rPr>
              <w:t xml:space="preserve">   ·   </w:t>
            </w:r>
            <w:r>
              <w:rPr>
                <w:rFonts w:ascii="Calibri" w:cs="Calibri" w:eastAsia="Calibri" w:hAnsi="Calibri"/>
                <w:b/>
                <w:bCs/>
                <w:i w:val="false"/>
                <w:iCs w:val="false"/>
                <w:caps/>
                <w:color w:val="5B5B5B"/>
                <w:sz w:val="22"/>
                <w:szCs w:val="22"/>
              </w:rPr>
              <w:t xml:space="preserve">INSTITUTIONAL BRIEFING</w:t>
            </w:r>
            <w:r>
              <w:rPr>
                <w:rFonts w:ascii="Calibri" w:cs="Calibri" w:eastAsia="Calibri" w:hAnsi="Calibri"/>
                <w:b w:val="false"/>
                <w:bCs w:val="false"/>
                <w:i w:val="false"/>
                <w:iCs w:val="false"/>
                <w:caps w:val="false"/>
                <w:color w:val="5B5B5B"/>
                <w:sz w:val="22"/>
                <w:szCs w:val="22"/>
              </w:rPr>
              <w:t xml:space="preserve">   ·   </w:t>
            </w:r>
            <w:r>
              <w:rPr>
                <w:rFonts w:ascii="Calibri" w:cs="Calibri" w:eastAsia="Calibri" w:hAnsi="Calibri"/>
                <w:b/>
                <w:bCs/>
                <w:i w:val="false"/>
                <w:iCs w:val="false"/>
                <w:caps w:val="false"/>
                <w:color w:val="944454"/>
                <w:sz w:val="22"/>
                <w:szCs w:val="22"/>
              </w:rPr>
              <w:t xml:space="preserve">No. 33/36</w:t>
            </w:r>
          </w:p>
          <w:p>
            <w:pPr>
              <w:spacing w:after="80" w:before="0"/>
              <w:jc w:val="left"/>
            </w:pPr>
            <w:r>
              <w:rPr>
                <w:rFonts w:ascii="Calibri" w:cs="Calibri" w:eastAsia="Calibri" w:hAnsi="Calibri"/>
                <w:b/>
                <w:bCs/>
                <w:i w:val="false"/>
                <w:iCs w:val="false"/>
                <w:caps/>
                <w:color w:val="944454"/>
                <w:sz w:val="18"/>
                <w:szCs w:val="18"/>
              </w:rPr>
              <w:t xml:space="preserve">GENDER EQUALITY</w:t>
            </w:r>
            <w:r>
              <w:rPr>
                <w:rFonts w:ascii="Calibri" w:cs="Calibri" w:eastAsia="Calibri" w:hAnsi="Calibri"/>
                <w:b w:val="false"/>
                <w:bCs w:val="false"/>
                <w:i w:val="false"/>
                <w:iCs w:val="false"/>
                <w:caps w:val="false"/>
                <w:color w:val="5B5B5B"/>
                <w:sz w:val="18"/>
                <w:szCs w:val="18"/>
              </w:rPr>
              <w:t xml:space="preserve">   |   </w:t>
            </w:r>
            <w:r>
              <w:rPr>
                <w:rFonts w:ascii="Calibri" w:cs="Calibri" w:eastAsia="Calibri" w:hAnsi="Calibri"/>
                <w:b w:val="false"/>
                <w:bCs w:val="false"/>
                <w:i/>
                <w:iCs/>
                <w:caps w:val="false"/>
                <w:color w:val="5B5B5B"/>
                <w:sz w:val="18"/>
                <w:szCs w:val="18"/>
              </w:rPr>
              <w:t xml:space="preserve">Rights · Representation · Decision-Making Architecture</w:t>
            </w:r>
          </w:p>
        </w:tc>
      </w:tr>
    </w:tbl>
    <w:p>
      <w:pPr>
        <w:spacing w:after="40" w:before="0"/>
        <w:jc w:val="left"/>
      </w:pPr>
      <w:r>
        <w:rPr>
          <w:rFonts w:ascii="Calibri" w:cs="Calibri" w:eastAsia="Calibri" w:hAnsi="Calibri"/>
          <w:b w:val="false"/>
          <w:bCs w:val="false"/>
          <w:i w:val="false"/>
          <w:iCs w:val="false"/>
          <w:caps w:val="false"/>
          <w:color w:val="28251D"/>
          <w:sz w:val="8"/>
          <w:szCs w:val="8"/>
        </w:rPr>
        <w:t xml:space="preserve"> </w:t>
      </w:r>
    </w:p>
    <w:tbl>
      <w:tblPr>
        <w:tblW w:type="dxa" w:w="9648"/>
        <w:tblBorders>
          <w:top w:val="single" w:color="auto" w:sz="4"/>
          <w:left w:val="single" w:color="auto" w:sz="4"/>
          <w:bottom w:val="single" w:color="auto" w:sz="4"/>
          <w:right w:val="single" w:color="auto" w:sz="4"/>
          <w:insideH w:val="single" w:color="auto" w:sz="4"/>
          <w:insideV w:val="single" w:color="auto" w:sz="4"/>
        </w:tblBorders>
      </w:tblPr>
      <w:tblGrid>
        <w:gridCol w:w="9648"/>
      </w:tblGrid>
      <w:tr>
        <w:trPr>
          <w:trHeight w:val="2592" w:hRule="atLeast"/>
        </w:trPr>
        <w:tc>
          <w:tcPr>
            <w:tcW w:type="dxa" w:w="9648"/>
            <w:tcBorders>
              <w:top w:val="dashed" w:color="D4D1CA" w:sz="6"/>
              <w:left w:val="dashed" w:color="D4D1CA" w:sz="6"/>
              <w:bottom w:val="dashed" w:color="D4D1CA" w:sz="6"/>
              <w:right w:val="dashed" w:color="D4D1CA" w:sz="6"/>
            </w:tcBorders>
            <w:shd w:fill="EFE9DA" w:val="clear"/>
            <w:tcMar>
              <w:top w:type="dxa" w:w="240"/>
              <w:left w:type="dxa" w:w="240"/>
              <w:bottom w:type="dxa" w:w="240"/>
              <w:right w:type="dxa" w:w="240"/>
            </w:tcMar>
            <w:vAlign w:val="center"/>
          </w:tcPr>
          <w:p>
            <w:pPr>
              <w:spacing w:after="40" w:before="0"/>
              <w:jc w:val="center"/>
            </w:pPr>
            <w:r>
              <w:rPr>
                <w:rFonts w:ascii="Calibri" w:cs="Calibri" w:eastAsia="Calibri" w:hAnsi="Calibri"/>
                <w:b/>
                <w:bCs/>
                <w:i w:val="false"/>
                <w:iCs w:val="false"/>
                <w:caps/>
                <w:color w:val="5B5B5B"/>
                <w:sz w:val="24"/>
                <w:szCs w:val="24"/>
              </w:rPr>
              <w:t xml:space="preserve">THUMBNAIL IMAGE</w:t>
            </w:r>
          </w:p>
          <w:p>
            <w:pPr>
              <w:spacing w:after="20" w:before="0"/>
              <w:jc w:val="center"/>
            </w:pPr>
            <w:r>
              <w:rPr>
                <w:rFonts w:ascii="Calibri" w:cs="Calibri" w:eastAsia="Calibri" w:hAnsi="Calibri"/>
                <w:b w:val="false"/>
                <w:bCs w:val="false"/>
                <w:i/>
                <w:iCs/>
                <w:caps w:val="false"/>
                <w:color w:val="5B5B5B"/>
                <w:sz w:val="18"/>
                <w:szCs w:val="18"/>
              </w:rPr>
              <w:t xml:space="preserve">Replace this placeholder with the featured image (1200 × 675 px recommended, 16:9).</w:t>
            </w:r>
          </w:p>
          <w:p>
            <w:pPr>
              <w:spacing w:after="0" w:before="0"/>
              <w:jc w:val="center"/>
            </w:pPr>
            <w:r>
              <w:rPr>
                <w:rFonts w:ascii="Calibri" w:cs="Calibri" w:eastAsia="Calibri" w:hAnsi="Calibri"/>
                <w:b w:val="false"/>
                <w:bCs w:val="false"/>
                <w:i w:val="false"/>
                <w:iCs w:val="false"/>
                <w:caps w:val="false"/>
                <w:color w:val="5B5B5B"/>
                <w:sz w:val="16"/>
                <w:szCs w:val="16"/>
              </w:rPr>
              <w:t xml:space="preserve">For WordPress upload: set the same image as the post Featured Image.</w:t>
            </w:r>
          </w:p>
        </w:tc>
      </w:tr>
    </w:tbl>
    <w:p>
      <w:pPr>
        <w:spacing w:after="80" w:before="280" w:line="280"/>
        <w:jc w:val="left"/>
      </w:pPr>
      <w:r>
        <w:rPr>
          <w:rFonts w:ascii="Calibri" w:cs="Calibri" w:eastAsia="Calibri" w:hAnsi="Calibri"/>
          <w:b/>
          <w:bCs/>
          <w:i w:val="false"/>
          <w:iCs w:val="false"/>
          <w:caps w:val="false"/>
          <w:color w:val="1F2A2C"/>
          <w:sz w:val="44"/>
          <w:szCs w:val="44"/>
        </w:rPr>
        <w:t xml:space="preserve">Women, Peace, and FemWise-Africa</w:t>
      </w:r>
    </w:p>
    <w:p>
      <w:pPr>
        <w:spacing w:after="200" w:before="0" w:line="300"/>
        <w:jc w:val="left"/>
      </w:pPr>
      <w:r>
        <w:rPr>
          <w:rFonts w:ascii="Calibri" w:cs="Calibri" w:eastAsia="Calibri" w:hAnsi="Calibri"/>
          <w:b w:val="false"/>
          <w:bCs w:val="false"/>
          <w:i/>
          <w:iCs/>
          <w:caps w:val="false"/>
          <w:color w:val="944454"/>
          <w:sz w:val="24"/>
          <w:szCs w:val="24"/>
        </w:rPr>
        <w:t xml:space="preserve">The continent now has an institutional answer to UNSCR 1325 — a standing network of women mediators deployed across active African conflicts</w:t>
      </w:r>
    </w:p>
    <w:p>
      <w:pPr>
        <w:pBdr>
          <w:bottom w:val="single" w:color="D4D1CA" w:sz="4" w:space="1"/>
        </w:pBdr>
        <w:spacing w:after="200" w:before="0"/>
      </w:pPr>
      <w:r>
        <w:t xml:space="preserve"> </w:t>
      </w:r>
    </w:p>
    <w:tbl>
      <w:tblPr>
        <w:tblW w:type="dxa" w:w="9648"/>
        <w:tblBorders>
          <w:top w:val="single" w:color="auto" w:sz="4"/>
          <w:left w:val="single" w:color="auto" w:sz="4"/>
          <w:bottom w:val="single" w:color="auto" w:sz="4"/>
          <w:right w:val="single" w:color="auto" w:sz="4"/>
          <w:insideH w:val="single" w:color="auto" w:sz="4"/>
          <w:insideV w:val="single" w:color="auto" w:sz="4"/>
        </w:tblBorders>
      </w:tblPr>
      <w:tblGrid>
        <w:gridCol w:w="3216"/>
        <w:gridCol w:w="3216"/>
        <w:gridCol w:w="3216"/>
      </w:tblGrid>
      <w:tr>
        <w:tc>
          <w:tcPr>
            <w:tcBorders>
              <w:top w:val="none" w:color="FFFFFF" w:sz="0"/>
              <w:left w:val="none" w:color="FFFFFF" w:sz="0"/>
              <w:bottom w:val="none" w:color="FFFFFF" w:sz="0"/>
              <w:right w:val="none" w:color="FFFFFF" w:sz="0"/>
            </w:tcBorders>
            <w:shd w:fill="F4F0E6" w:val="clear"/>
            <w:tcMar>
              <w:top w:type="dxa" w:w="100"/>
              <w:left w:type="dxa" w:w="140"/>
              <w:bottom w:type="dxa" w:w="100"/>
              <w:right w:type="dxa" w:w="140"/>
            </w:tcMar>
          </w:tcPr>
          <w:p>
            <w:pPr>
              <w:spacing w:after="20" w:before="0"/>
              <w:jc w:val="left"/>
            </w:pPr>
            <w:r>
              <w:rPr>
                <w:rFonts w:ascii="Calibri" w:cs="Calibri" w:eastAsia="Calibri" w:hAnsi="Calibri"/>
                <w:b/>
                <w:bCs/>
                <w:i w:val="false"/>
                <w:iCs w:val="false"/>
                <w:caps/>
                <w:color w:val="5B5B5B"/>
                <w:sz w:val="14"/>
                <w:szCs w:val="14"/>
              </w:rPr>
              <w:t xml:space="preserve">SERIES</w:t>
            </w:r>
          </w:p>
          <w:p>
            <w:pPr>
              <w:spacing w:after="0" w:before="0"/>
              <w:jc w:val="left"/>
            </w:pPr>
            <w:r>
              <w:rPr>
                <w:rFonts w:ascii="Calibri" w:cs="Calibri" w:eastAsia="Calibri" w:hAnsi="Calibri"/>
                <w:b w:val="false"/>
                <w:bCs w:val="false"/>
                <w:i w:val="false"/>
                <w:iCs w:val="false"/>
                <w:caps w:val="false"/>
                <w:color w:val="28251D"/>
                <w:sz w:val="17"/>
                <w:szCs w:val="17"/>
              </w:rPr>
              <w:t xml:space="preserve">AU Intelligence · 36-Brief Series</w:t>
            </w:r>
          </w:p>
        </w:tc>
        <w:tc>
          <w:tcPr>
            <w:tcBorders>
              <w:top w:val="none" w:color="FFFFFF" w:sz="0"/>
              <w:left w:val="none" w:color="FFFFFF" w:sz="0"/>
              <w:bottom w:val="none" w:color="FFFFFF" w:sz="0"/>
              <w:right w:val="none" w:color="FFFFFF" w:sz="0"/>
            </w:tcBorders>
            <w:shd w:fill="F4F0E6" w:val="clear"/>
            <w:tcMar>
              <w:top w:type="dxa" w:w="100"/>
              <w:left w:type="dxa" w:w="140"/>
              <w:bottom w:type="dxa" w:w="100"/>
              <w:right w:type="dxa" w:w="140"/>
            </w:tcMar>
          </w:tcPr>
          <w:p>
            <w:pPr>
              <w:spacing w:after="20" w:before="0"/>
              <w:jc w:val="left"/>
            </w:pPr>
            <w:r>
              <w:rPr>
                <w:rFonts w:ascii="Calibri" w:cs="Calibri" w:eastAsia="Calibri" w:hAnsi="Calibri"/>
                <w:b/>
                <w:bCs/>
                <w:i w:val="false"/>
                <w:iCs w:val="false"/>
                <w:caps/>
                <w:color w:val="5B5B5B"/>
                <w:sz w:val="14"/>
                <w:szCs w:val="14"/>
              </w:rPr>
              <w:t xml:space="preserve">AUDIENCE</w:t>
            </w:r>
          </w:p>
          <w:p>
            <w:pPr>
              <w:spacing w:after="0" w:before="0"/>
              <w:jc w:val="left"/>
            </w:pPr>
            <w:r>
              <w:rPr>
                <w:rFonts w:ascii="Calibri" w:cs="Calibri" w:eastAsia="Calibri" w:hAnsi="Calibri"/>
                <w:b w:val="false"/>
                <w:bCs w:val="false"/>
                <w:i w:val="false"/>
                <w:iCs w:val="false"/>
                <w:caps w:val="false"/>
                <w:color w:val="28251D"/>
                <w:sz w:val="17"/>
                <w:szCs w:val="17"/>
              </w:rPr>
              <w:t xml:space="preserve">Donor desks · Parliamentary committees · Ministerial offices</w:t>
            </w:r>
          </w:p>
        </w:tc>
        <w:tc>
          <w:tcPr>
            <w:tcBorders>
              <w:top w:val="none" w:color="FFFFFF" w:sz="0"/>
              <w:left w:val="none" w:color="FFFFFF" w:sz="0"/>
              <w:bottom w:val="none" w:color="FFFFFF" w:sz="0"/>
              <w:right w:val="none" w:color="FFFFFF" w:sz="0"/>
            </w:tcBorders>
            <w:shd w:fill="F4F0E6" w:val="clear"/>
            <w:tcMar>
              <w:top w:type="dxa" w:w="100"/>
              <w:left w:type="dxa" w:w="140"/>
              <w:bottom w:type="dxa" w:w="100"/>
              <w:right w:type="dxa" w:w="140"/>
            </w:tcMar>
          </w:tcPr>
          <w:p>
            <w:pPr>
              <w:spacing w:after="20" w:before="0"/>
              <w:jc w:val="left"/>
            </w:pPr>
            <w:r>
              <w:rPr>
                <w:rFonts w:ascii="Calibri" w:cs="Calibri" w:eastAsia="Calibri" w:hAnsi="Calibri"/>
                <w:b/>
                <w:bCs/>
                <w:i w:val="false"/>
                <w:iCs w:val="false"/>
                <w:caps/>
                <w:color w:val="5B5B5B"/>
                <w:sz w:val="14"/>
                <w:szCs w:val="14"/>
              </w:rPr>
              <w:t xml:space="preserve">FORMAT</w:t>
            </w:r>
          </w:p>
          <w:p>
            <w:pPr>
              <w:spacing w:after="0" w:before="0"/>
              <w:jc w:val="left"/>
            </w:pPr>
            <w:r>
              <w:rPr>
                <w:rFonts w:ascii="Calibri" w:cs="Calibri" w:eastAsia="Calibri" w:hAnsi="Calibri"/>
                <w:b w:val="false"/>
                <w:bCs w:val="false"/>
                <w:i w:val="false"/>
                <w:iCs w:val="false"/>
                <w:caps w:val="false"/>
                <w:color w:val="28251D"/>
                <w:sz w:val="17"/>
                <w:szCs w:val="17"/>
              </w:rPr>
              <w:t xml:space="preserve">One-page institutional briefing · Tabling-ready</w:t>
            </w:r>
          </w:p>
        </w:tc>
      </w:tr>
    </w:tbl>
    <w:p>
      <w:pPr>
        <w:spacing w:after="60" w:before="0"/>
        <w:jc w:val="left"/>
      </w:pPr>
      <w:r>
        <w:rPr>
          <w:rFonts w:ascii="Calibri" w:cs="Calibri" w:eastAsia="Calibri" w:hAnsi="Calibri"/>
          <w:b w:val="false"/>
          <w:bCs w:val="false"/>
          <w:i w:val="false"/>
          <w:iCs w:val="false"/>
          <w:caps w:val="false"/>
          <w:color w:val="28251D"/>
          <w:sz w:val="8"/>
          <w:szCs w:val="8"/>
        </w:rPr>
        <w:t xml:space="preserve"> </w:t>
      </w:r>
    </w:p>
    <w:p>
      <w:pPr>
        <w:pBdr>
          <w:left w:val="single" w:color="944454" w:sz="18" w:space="12"/>
        </w:pBdr>
        <w:spacing w:after="160" w:before="120" w:line="320"/>
        <w:ind w:left="200"/>
      </w:pPr>
      <w:r>
        <w:rPr>
          <w:rFonts w:ascii="Calibri" w:cs="Calibri" w:eastAsia="Calibri" w:hAnsi="Calibri"/>
          <w:b w:val="false"/>
          <w:bCs w:val="false"/>
          <w:i w:val="false"/>
          <w:iCs w:val="false"/>
          <w:caps w:val="false"/>
          <w:color w:val="28251D"/>
          <w:sz w:val="23"/>
          <w:szCs w:val="23"/>
        </w:rPr>
        <w:t xml:space="preserve">Twenty-five years after the UN Security Council adopted Resolution 1325 on Women, Peace and Security, only seventeen African states have published National Action Plans, and fewer than half of those are funded. Yet at continental level, Africa has built the most operational women-mediators network anywhere globally: FemWise-Africa, established in 2017 under the AU Peace and Security Council, now rosters more than 700 vetted women mediators, conflict analysts, and dialogue facilitators across the 55 member states. Deployments in 2024–25 included South Sudan, the eastern DRC, Sudan, the Sahel mediation track, and the post-election dialogue in Mozambique.</w:t>
      </w:r>
    </w:p>
    <w:p>
      <w:pPr>
        <w:spacing w:after="140" w:before="100" w:line="300"/>
        <w:jc w:val="left"/>
      </w:pPr>
      <w:r>
        <w:rPr>
          <w:rFonts w:ascii="Calibri" w:cs="Calibri" w:eastAsia="Calibri" w:hAnsi="Calibri"/>
          <w:b w:val="false"/>
          <w:bCs w:val="false"/>
          <w:i w:val="false"/>
          <w:iCs w:val="false"/>
          <w:caps w:val="false"/>
          <w:color w:val="28251D"/>
          <w:sz w:val="21"/>
          <w:szCs w:val="21"/>
        </w:rPr>
        <w:t xml:space="preserve">The network's significance lies in its institutional anchoring. FemWise sits inside the AU Panel of the Wise's architecture, which means its members can be drawn into formal AU mediation efforts without bureaucratic improvisation. The Resolution of the African Union Assembly that established FemWise also placed it inside the African Peace and Security Architecture (APSA), giving its analyses standing weight inside the Peace and Security Council's preventive-diplomacy track. The 2024 Continental Results Framework on Women, Peace and Security — coordinated by the AU Office of the Special Envoy on Women, Peace and Security — now requires Regional Economic Communities to report annually on women's representation in mediation, security-sector reform, and post-conflict reconstruction.</w:t>
      </w:r>
    </w:p>
    <w:p>
      <w:pPr>
        <w:spacing w:after="140" w:before="100" w:line="300"/>
        <w:jc w:val="left"/>
      </w:pPr>
      <w:r>
        <w:rPr>
          <w:rFonts w:ascii="Calibri" w:cs="Calibri" w:eastAsia="Calibri" w:hAnsi="Calibri"/>
          <w:b w:val="false"/>
          <w:bCs w:val="false"/>
          <w:i w:val="false"/>
          <w:iCs w:val="false"/>
          <w:caps w:val="false"/>
          <w:color w:val="28251D"/>
          <w:sz w:val="21"/>
          <w:szCs w:val="21"/>
        </w:rPr>
        <w:t xml:space="preserve">The data behind the institutional architecture is uneven. African women represent roughly 9% of negotiators in formal continental peace processes (2024 AU tracking data) — better than the global average of 6%, but well below the 30% threshold most major frameworks reference. The variation across processes is dramatic: the Mozambique post-election dialogue reached 28% women in formal negotiating teams; the Sudan tracks remain below 5%. The gap is now a measurable accountability variable rather than a rhetorical one.</w:t>
      </w:r>
    </w:p>
    <w:p>
      <w:pPr>
        <w:spacing w:after="140" w:before="100" w:line="300"/>
        <w:jc w:val="left"/>
      </w:pPr>
      <w:r>
        <w:rPr>
          <w:rFonts w:ascii="Calibri" w:cs="Calibri" w:eastAsia="Calibri" w:hAnsi="Calibri"/>
          <w:b w:val="false"/>
          <w:bCs w:val="false"/>
          <w:i w:val="false"/>
          <w:iCs w:val="false"/>
          <w:caps w:val="false"/>
          <w:color w:val="28251D"/>
          <w:sz w:val="21"/>
          <w:szCs w:val="21"/>
        </w:rPr>
        <w:t xml:space="preserve">For continental partners, the operational opening is concrete. Funding the deployment costs of FemWise mediators, underwriting National Action Plan implementation in priority states, and supporting the data systems that track women's representation in security-sector reform are all sized at portfolio scale. The political case is unusually strong: in a moment when Africa's security architecture is under intense pressure from the Sahel withdrawals and the eastern DRC crisis, women-mediator capacity is one of the few areas where the AU has institutional readiness ahead of demand.</w:t>
      </w:r>
    </w:p>
    <w:p>
      <w:pPr>
        <w:spacing w:after="60" w:before="100"/>
        <w:jc w:val="left"/>
      </w:pPr>
      <w:r>
        <w:rPr>
          <w:rFonts w:ascii="Calibri" w:cs="Calibri" w:eastAsia="Calibri" w:hAnsi="Calibri"/>
          <w:b w:val="false"/>
          <w:bCs w:val="false"/>
          <w:i w:val="false"/>
          <w:iCs w:val="false"/>
          <w:caps w:val="false"/>
          <w:color w:val="28251D"/>
          <w:sz w:val="8"/>
          <w:szCs w:val="8"/>
        </w:rPr>
        <w:t xml:space="preserve"> </w:t>
      </w:r>
    </w:p>
    <w:tbl>
      <w:tblPr>
        <w:tblW w:type="dxa" w:w="9648"/>
        <w:tblBorders>
          <w:top w:val="single" w:color="auto" w:sz="4"/>
          <w:left w:val="single" w:color="auto" w:sz="4"/>
          <w:bottom w:val="single" w:color="auto" w:sz="4"/>
          <w:right w:val="single" w:color="auto" w:sz="4"/>
          <w:insideH w:val="single" w:color="auto" w:sz="4"/>
          <w:insideV w:val="single" w:color="auto" w:sz="4"/>
        </w:tblBorders>
      </w:tblPr>
      <w:tblGrid>
        <w:gridCol w:w="9648"/>
      </w:tblGrid>
      <w:tr>
        <w:tc>
          <w:tcPr>
            <w:tcW w:type="dxa" w:w="9648"/>
            <w:tcBorders>
              <w:top w:val="single" w:color="00696F" w:sz="6"/>
              <w:left w:val="single" w:color="00696F" w:sz="18"/>
              <w:bottom w:val="single" w:color="00696F" w:sz="6"/>
              <w:right w:val="single" w:color="00696F" w:sz="6"/>
            </w:tcBorders>
            <w:shd w:fill="E9F2F2" w:val="clear"/>
            <w:tcMar>
              <w:top w:type="dxa" w:w="200"/>
              <w:left w:type="dxa" w:w="240"/>
              <w:bottom w:type="dxa" w:w="200"/>
              <w:right w:type="dxa" w:w="240"/>
            </w:tcMar>
          </w:tcPr>
          <w:p>
            <w:pPr>
              <w:spacing w:after="60" w:before="0"/>
              <w:jc w:val="left"/>
            </w:pPr>
            <w:r>
              <w:rPr>
                <w:rFonts w:ascii="Calibri" w:cs="Calibri" w:eastAsia="Calibri" w:hAnsi="Calibri"/>
                <w:b/>
                <w:bCs/>
                <w:i w:val="false"/>
                <w:iCs w:val="false"/>
                <w:caps/>
                <w:color w:val="00696F"/>
                <w:sz w:val="18"/>
                <w:szCs w:val="18"/>
              </w:rPr>
              <w:t xml:space="preserve">ART INSIGHT — Institutional Read</w:t>
            </w:r>
          </w:p>
          <w:p>
            <w:pPr>
              <w:spacing w:after="0" w:before="0" w:line="290"/>
              <w:jc w:val="left"/>
            </w:pPr>
            <w:r>
              <w:rPr>
                <w:rFonts w:ascii="Calibri" w:cs="Calibri" w:eastAsia="Calibri" w:hAnsi="Calibri"/>
                <w:b w:val="false"/>
                <w:bCs w:val="false"/>
                <w:i w:val="false"/>
                <w:iCs w:val="false"/>
                <w:caps w:val="false"/>
                <w:color w:val="28251D"/>
                <w:sz w:val="20"/>
                <w:szCs w:val="20"/>
              </w:rPr>
              <w:t xml:space="preserve">FemWise-Africa is the rare case where continental institutional capacity is ahead of national implementation. The roster exists; the mandate exists; the deployment record is real. What is uneven is country-level absorption — particularly the funding of National Action Plans. Partners who finance the bridge between the continental roster and country-level reform will compound impact across both peace processes and gender architecture.</w:t>
            </w:r>
          </w:p>
        </w:tc>
      </w:tr>
    </w:tbl>
    <w:p>
      <w:pPr>
        <w:spacing w:after="60" w:before="80"/>
        <w:jc w:val="left"/>
      </w:pPr>
      <w:r>
        <w:rPr>
          <w:rFonts w:ascii="Calibri" w:cs="Calibri" w:eastAsia="Calibri" w:hAnsi="Calibri"/>
          <w:b w:val="false"/>
          <w:bCs w:val="false"/>
          <w:i w:val="false"/>
          <w:iCs w:val="false"/>
          <w:caps w:val="false"/>
          <w:color w:val="28251D"/>
          <w:sz w:val="8"/>
          <w:szCs w:val="8"/>
        </w:rPr>
        <w:t xml:space="preserve"> </w:t>
      </w:r>
    </w:p>
    <w:tbl>
      <w:tblPr>
        <w:tblW w:type="dxa" w:w="9648"/>
        <w:tblBorders>
          <w:top w:val="single" w:color="auto" w:sz="4"/>
          <w:left w:val="single" w:color="auto" w:sz="4"/>
          <w:bottom w:val="single" w:color="auto" w:sz="4"/>
          <w:right w:val="single" w:color="auto" w:sz="4"/>
          <w:insideH w:val="single" w:color="auto" w:sz="4"/>
          <w:insideV w:val="single" w:color="auto" w:sz="4"/>
        </w:tblBorders>
      </w:tblPr>
      <w:tblGrid>
        <w:gridCol w:w="9648"/>
      </w:tblGrid>
      <w:tr>
        <w:tc>
          <w:tcPr>
            <w:tcW w:type="dxa" w:w="9648"/>
            <w:tcBorders>
              <w:top w:val="single" w:color="BC8B2C" w:sz="6"/>
              <w:left w:val="single" w:color="BC8B2C" w:sz="18"/>
              <w:bottom w:val="single" w:color="BC8B2C" w:sz="6"/>
              <w:right w:val="single" w:color="BC8B2C" w:sz="6"/>
            </w:tcBorders>
            <w:shd w:fill="F7F0DC" w:val="clear"/>
            <w:tcMar>
              <w:top w:type="dxa" w:w="200"/>
              <w:left w:type="dxa" w:w="240"/>
              <w:bottom w:type="dxa" w:w="200"/>
              <w:right w:type="dxa" w:w="240"/>
            </w:tcMar>
          </w:tcPr>
          <w:p>
            <w:pPr>
              <w:spacing w:after="60" w:before="0"/>
              <w:jc w:val="left"/>
            </w:pPr>
            <w:r>
              <w:rPr>
                <w:rFonts w:ascii="Calibri" w:cs="Calibri" w:eastAsia="Calibri" w:hAnsi="Calibri"/>
                <w:b/>
                <w:bCs/>
                <w:i w:val="false"/>
                <w:iCs w:val="false"/>
                <w:caps/>
                <w:color w:val="BC8B2C"/>
                <w:sz w:val="18"/>
                <w:szCs w:val="18"/>
              </w:rPr>
              <w:t xml:space="preserve">DONOR RELEVANCE — Decision Implication</w:t>
            </w:r>
          </w:p>
          <w:p>
            <w:pPr>
              <w:spacing w:after="0" w:before="0" w:line="290"/>
              <w:jc w:val="left"/>
            </w:pPr>
            <w:r>
              <w:rPr>
                <w:rFonts w:ascii="Calibri" w:cs="Calibri" w:eastAsia="Calibri" w:hAnsi="Calibri"/>
                <w:b w:val="false"/>
                <w:bCs w:val="false"/>
                <w:i w:val="false"/>
                <w:iCs w:val="false"/>
                <w:caps w:val="false"/>
                <w:color w:val="28251D"/>
                <w:sz w:val="20"/>
                <w:szCs w:val="20"/>
              </w:rPr>
              <w:t xml:space="preserve">For donors, FemWise-Africa is the operational answer to UNSCR 1325 on the continent — a 700-strong roster of vetted women mediators with formal AU institutional standing. Funding deployment costs, supporting National Action Plan implementation, and underwriting Women, Peace and Security data systems are sized at portfolio scale and produce measurable outcomes inside ongoing peace processes.</w:t>
            </w:r>
          </w:p>
        </w:tc>
      </w:tr>
    </w:tbl>
    <w:p>
      <w:pPr>
        <w:spacing w:after="60" w:before="240"/>
        <w:jc w:val="left"/>
      </w:pPr>
      <w:r>
        <w:rPr>
          <w:rFonts w:ascii="Calibri" w:cs="Calibri" w:eastAsia="Calibri" w:hAnsi="Calibri"/>
          <w:b/>
          <w:bCs/>
          <w:i w:val="false"/>
          <w:iCs w:val="false"/>
          <w:caps/>
          <w:color w:val="5B5B5B"/>
          <w:sz w:val="18"/>
          <w:szCs w:val="18"/>
        </w:rPr>
        <w:t xml:space="preserve">AT-A-GLANCE ANALYTICS</w:t>
      </w:r>
    </w:p>
    <w:tbl>
      <w:tblPr>
        <w:tblW w:type="dxa" w:w="9648"/>
        <w:tblBorders>
          <w:top w:val="single" w:color="auto" w:sz="4"/>
          <w:left w:val="single" w:color="auto" w:sz="4"/>
          <w:bottom w:val="single" w:color="auto" w:sz="4"/>
          <w:right w:val="single" w:color="auto" w:sz="4"/>
          <w:insideH w:val="single" w:color="auto" w:sz="4"/>
          <w:insideV w:val="single" w:color="auto" w:sz="4"/>
        </w:tblBorders>
      </w:tblPr>
      <w:tblGrid>
        <w:gridCol w:w="3087"/>
        <w:gridCol w:w="6560"/>
      </w:tblGrid>
      <w:tr>
        <w:tc>
          <w:tcPr>
            <w:tcW w:type="dxa" w:w="3087"/>
            <w:tcBorders>
              <w:top w:val="single" w:color="1F2A2C" w:sz="18"/>
              <w:left w:val="none" w:color="FFFFFF" w:sz="0"/>
              <w:bottom w:val="single" w:color="D4D1CA" w:sz="4"/>
              <w:right w:val="single" w:color="D4D1CA" w:sz="4"/>
            </w:tcBorders>
            <w:shd w:fill="FFFFFF" w:val="clear"/>
            <w:tcMar>
              <w:top w:type="dxa" w:w="100"/>
              <w:left w:type="dxa" w:w="0"/>
              <w:bottom w:type="dxa" w:w="100"/>
              <w:right w:type="dxa" w:w="100"/>
            </w:tcMar>
          </w:tcPr>
          <w:p>
            <w:pPr>
              <w:spacing w:after="0" w:before="0"/>
              <w:jc w:val="left"/>
            </w:pPr>
            <w:r>
              <w:rPr>
                <w:rFonts w:ascii="Calibri" w:cs="Calibri" w:eastAsia="Calibri" w:hAnsi="Calibri"/>
                <w:b/>
                <w:bCs/>
                <w:i w:val="false"/>
                <w:iCs w:val="false"/>
                <w:caps/>
                <w:color w:val="5B5B5B"/>
                <w:sz w:val="18"/>
                <w:szCs w:val="18"/>
              </w:rPr>
              <w:t xml:space="preserve">Network</w:t>
            </w:r>
          </w:p>
        </w:tc>
        <w:tc>
          <w:tcPr>
            <w:tcW w:type="dxa" w:w="6560"/>
            <w:tcBorders>
              <w:top w:val="single" w:color="1F2A2C" w:sz="18"/>
              <w:left w:val="single" w:color="D4D1CA" w:sz="4"/>
              <w:bottom w:val="single" w:color="D4D1CA" w:sz="4"/>
              <w:right w:val="none" w:color="FFFFFF" w:sz="0"/>
            </w:tcBorders>
            <w:shd w:fill="FFFFFF" w:val="clear"/>
            <w:tcMar>
              <w:top w:type="dxa" w:w="100"/>
              <w:left w:type="dxa" w:w="140"/>
              <w:bottom w:type="dxa" w:w="100"/>
              <w:right w:type="dxa" w:w="0"/>
            </w:tcMar>
          </w:tcPr>
          <w:p>
            <w:pPr>
              <w:spacing w:after="0" w:before="0"/>
              <w:jc w:val="left"/>
            </w:pPr>
            <w:r>
              <w:rPr>
                <w:rFonts w:ascii="Calibri" w:cs="Calibri" w:eastAsia="Calibri" w:hAnsi="Calibri"/>
                <w:b w:val="false"/>
                <w:bCs w:val="false"/>
                <w:i w:val="false"/>
                <w:iCs w:val="false"/>
                <w:caps w:val="false"/>
                <w:color w:val="28251D"/>
                <w:sz w:val="19"/>
                <w:szCs w:val="19"/>
              </w:rPr>
              <w:t xml:space="preserve">FemWise-Africa — 700+ vetted women mediators across 55 states</w:t>
            </w:r>
          </w:p>
        </w:tc>
      </w:tr>
      <w:tr>
        <w:tc>
          <w:tcPr>
            <w:tcW w:type="dxa" w:w="3087"/>
            <w:tcBorders>
              <w:top w:val="single" w:color="D4D1CA" w:sz="4"/>
              <w:left w:val="none" w:color="FFFFFF" w:sz="0"/>
              <w:bottom w:val="single" w:color="D4D1CA" w:sz="4"/>
              <w:right w:val="single" w:color="D4D1CA" w:sz="4"/>
            </w:tcBorders>
            <w:shd w:fill="FFFFFF" w:val="clear"/>
            <w:tcMar>
              <w:top w:type="dxa" w:w="100"/>
              <w:left w:type="dxa" w:w="0"/>
              <w:bottom w:type="dxa" w:w="100"/>
              <w:right w:type="dxa" w:w="100"/>
            </w:tcMar>
          </w:tcPr>
          <w:p>
            <w:pPr>
              <w:spacing w:after="0" w:before="0"/>
              <w:jc w:val="left"/>
            </w:pPr>
            <w:r>
              <w:rPr>
                <w:rFonts w:ascii="Calibri" w:cs="Calibri" w:eastAsia="Calibri" w:hAnsi="Calibri"/>
                <w:b/>
                <w:bCs/>
                <w:i w:val="false"/>
                <w:iCs w:val="false"/>
                <w:caps/>
                <w:color w:val="5B5B5B"/>
                <w:sz w:val="18"/>
                <w:szCs w:val="18"/>
              </w:rPr>
              <w:t xml:space="preserve">Institutional anchor</w:t>
            </w:r>
          </w:p>
        </w:tc>
        <w:tc>
          <w:tcPr>
            <w:tcW w:type="dxa" w:w="6560"/>
            <w:tcBorders>
              <w:top w:val="single" w:color="D4D1CA" w:sz="4"/>
              <w:left w:val="single" w:color="D4D1CA" w:sz="4"/>
              <w:bottom w:val="single" w:color="D4D1CA" w:sz="4"/>
              <w:right w:val="none" w:color="FFFFFF" w:sz="0"/>
            </w:tcBorders>
            <w:shd w:fill="FFFFFF" w:val="clear"/>
            <w:tcMar>
              <w:top w:type="dxa" w:w="100"/>
              <w:left w:type="dxa" w:w="140"/>
              <w:bottom w:type="dxa" w:w="100"/>
              <w:right w:type="dxa" w:w="0"/>
            </w:tcMar>
          </w:tcPr>
          <w:p>
            <w:pPr>
              <w:spacing w:after="0" w:before="0"/>
              <w:jc w:val="left"/>
            </w:pPr>
            <w:r>
              <w:rPr>
                <w:rFonts w:ascii="Calibri" w:cs="Calibri" w:eastAsia="Calibri" w:hAnsi="Calibri"/>
                <w:b w:val="false"/>
                <w:bCs w:val="false"/>
                <w:i w:val="false"/>
                <w:iCs w:val="false"/>
                <w:caps w:val="false"/>
                <w:color w:val="28251D"/>
                <w:sz w:val="19"/>
                <w:szCs w:val="19"/>
              </w:rPr>
              <w:t xml:space="preserve">AU Panel of the Wise · African Peace and Security Architecture (APSA)</w:t>
            </w:r>
          </w:p>
        </w:tc>
      </w:tr>
      <w:tr>
        <w:tc>
          <w:tcPr>
            <w:tcW w:type="dxa" w:w="3087"/>
            <w:tcBorders>
              <w:top w:val="single" w:color="D4D1CA" w:sz="4"/>
              <w:left w:val="none" w:color="FFFFFF" w:sz="0"/>
              <w:bottom w:val="single" w:color="D4D1CA" w:sz="4"/>
              <w:right w:val="single" w:color="D4D1CA" w:sz="4"/>
            </w:tcBorders>
            <w:shd w:fill="FFFFFF" w:val="clear"/>
            <w:tcMar>
              <w:top w:type="dxa" w:w="100"/>
              <w:left w:type="dxa" w:w="0"/>
              <w:bottom w:type="dxa" w:w="100"/>
              <w:right w:type="dxa" w:w="100"/>
            </w:tcMar>
          </w:tcPr>
          <w:p>
            <w:pPr>
              <w:spacing w:after="0" w:before="0"/>
              <w:jc w:val="left"/>
            </w:pPr>
            <w:r>
              <w:rPr>
                <w:rFonts w:ascii="Calibri" w:cs="Calibri" w:eastAsia="Calibri" w:hAnsi="Calibri"/>
                <w:b/>
                <w:bCs/>
                <w:i w:val="false"/>
                <w:iCs w:val="false"/>
                <w:caps/>
                <w:color w:val="5B5B5B"/>
                <w:sz w:val="18"/>
                <w:szCs w:val="18"/>
              </w:rPr>
              <w:t xml:space="preserve">Recent deployments</w:t>
            </w:r>
          </w:p>
        </w:tc>
        <w:tc>
          <w:tcPr>
            <w:tcW w:type="dxa" w:w="6560"/>
            <w:tcBorders>
              <w:top w:val="single" w:color="D4D1CA" w:sz="4"/>
              <w:left w:val="single" w:color="D4D1CA" w:sz="4"/>
              <w:bottom w:val="single" w:color="D4D1CA" w:sz="4"/>
              <w:right w:val="none" w:color="FFFFFF" w:sz="0"/>
            </w:tcBorders>
            <w:shd w:fill="FFFFFF" w:val="clear"/>
            <w:tcMar>
              <w:top w:type="dxa" w:w="100"/>
              <w:left w:type="dxa" w:w="140"/>
              <w:bottom w:type="dxa" w:w="100"/>
              <w:right w:type="dxa" w:w="0"/>
            </w:tcMar>
          </w:tcPr>
          <w:p>
            <w:pPr>
              <w:spacing w:after="0" w:before="0"/>
              <w:jc w:val="left"/>
            </w:pPr>
            <w:r>
              <w:rPr>
                <w:rFonts w:ascii="Calibri" w:cs="Calibri" w:eastAsia="Calibri" w:hAnsi="Calibri"/>
                <w:b w:val="false"/>
                <w:bCs w:val="false"/>
                <w:i w:val="false"/>
                <w:iCs w:val="false"/>
                <w:caps w:val="false"/>
                <w:color w:val="28251D"/>
                <w:sz w:val="19"/>
                <w:szCs w:val="19"/>
              </w:rPr>
              <w:t xml:space="preserve">South Sudan · eastern DRC · Sudan · Sahel · Mozambique post-election</w:t>
            </w:r>
          </w:p>
        </w:tc>
      </w:tr>
      <w:tr>
        <w:tc>
          <w:tcPr>
            <w:tcW w:type="dxa" w:w="3087"/>
            <w:tcBorders>
              <w:top w:val="single" w:color="D4D1CA" w:sz="4"/>
              <w:left w:val="none" w:color="FFFFFF" w:sz="0"/>
              <w:bottom w:val="single" w:color="D4D1CA" w:sz="4"/>
              <w:right w:val="single" w:color="D4D1CA" w:sz="4"/>
            </w:tcBorders>
            <w:shd w:fill="FFFFFF" w:val="clear"/>
            <w:tcMar>
              <w:top w:type="dxa" w:w="100"/>
              <w:left w:type="dxa" w:w="0"/>
              <w:bottom w:type="dxa" w:w="100"/>
              <w:right w:type="dxa" w:w="100"/>
            </w:tcMar>
          </w:tcPr>
          <w:p>
            <w:pPr>
              <w:spacing w:after="0" w:before="0"/>
              <w:jc w:val="left"/>
            </w:pPr>
            <w:r>
              <w:rPr>
                <w:rFonts w:ascii="Calibri" w:cs="Calibri" w:eastAsia="Calibri" w:hAnsi="Calibri"/>
                <w:b/>
                <w:bCs/>
                <w:i w:val="false"/>
                <w:iCs w:val="false"/>
                <w:caps/>
                <w:color w:val="5B5B5B"/>
                <w:sz w:val="18"/>
                <w:szCs w:val="18"/>
              </w:rPr>
              <w:t xml:space="preserve">Representation data</w:t>
            </w:r>
          </w:p>
        </w:tc>
        <w:tc>
          <w:tcPr>
            <w:tcW w:type="dxa" w:w="6560"/>
            <w:tcBorders>
              <w:top w:val="single" w:color="D4D1CA" w:sz="4"/>
              <w:left w:val="single" w:color="D4D1CA" w:sz="4"/>
              <w:bottom w:val="single" w:color="D4D1CA" w:sz="4"/>
              <w:right w:val="none" w:color="FFFFFF" w:sz="0"/>
            </w:tcBorders>
            <w:shd w:fill="FFFFFF" w:val="clear"/>
            <w:tcMar>
              <w:top w:type="dxa" w:w="100"/>
              <w:left w:type="dxa" w:w="140"/>
              <w:bottom w:type="dxa" w:w="100"/>
              <w:right w:type="dxa" w:w="0"/>
            </w:tcMar>
          </w:tcPr>
          <w:p>
            <w:pPr>
              <w:spacing w:after="0" w:before="0"/>
              <w:jc w:val="left"/>
            </w:pPr>
            <w:r>
              <w:rPr>
                <w:rFonts w:ascii="Calibri" w:cs="Calibri" w:eastAsia="Calibri" w:hAnsi="Calibri"/>
                <w:b w:val="false"/>
                <w:bCs w:val="false"/>
                <w:i w:val="false"/>
                <w:iCs w:val="false"/>
                <w:caps w:val="false"/>
                <w:color w:val="28251D"/>
                <w:sz w:val="19"/>
                <w:szCs w:val="19"/>
              </w:rPr>
              <w:t xml:space="preserve">~9% women in formal continental peace negotiations (2024 AU tracking)</w:t>
            </w:r>
          </w:p>
        </w:tc>
      </w:tr>
      <w:tr>
        <w:tc>
          <w:tcPr>
            <w:tcW w:type="dxa" w:w="3087"/>
            <w:tcBorders>
              <w:top w:val="single" w:color="D4D1CA" w:sz="4"/>
              <w:left w:val="none" w:color="FFFFFF" w:sz="0"/>
              <w:bottom w:val="single" w:color="1F2A2C" w:sz="18"/>
              <w:right w:val="single" w:color="D4D1CA" w:sz="4"/>
            </w:tcBorders>
            <w:shd w:fill="FFFFFF" w:val="clear"/>
            <w:tcMar>
              <w:top w:type="dxa" w:w="100"/>
              <w:left w:type="dxa" w:w="0"/>
              <w:bottom w:type="dxa" w:w="100"/>
              <w:right w:type="dxa" w:w="100"/>
            </w:tcMar>
          </w:tcPr>
          <w:p>
            <w:pPr>
              <w:spacing w:after="0" w:before="0"/>
              <w:jc w:val="left"/>
            </w:pPr>
            <w:r>
              <w:rPr>
                <w:rFonts w:ascii="Calibri" w:cs="Calibri" w:eastAsia="Calibri" w:hAnsi="Calibri"/>
                <w:b/>
                <w:bCs/>
                <w:i w:val="false"/>
                <w:iCs w:val="false"/>
                <w:caps/>
                <w:color w:val="5B5B5B"/>
                <w:sz w:val="18"/>
                <w:szCs w:val="18"/>
              </w:rPr>
              <w:t xml:space="preserve">Accountability frame</w:t>
            </w:r>
          </w:p>
        </w:tc>
        <w:tc>
          <w:tcPr>
            <w:tcW w:type="dxa" w:w="6560"/>
            <w:tcBorders>
              <w:top w:val="single" w:color="D4D1CA" w:sz="4"/>
              <w:left w:val="single" w:color="D4D1CA" w:sz="4"/>
              <w:bottom w:val="single" w:color="1F2A2C" w:sz="18"/>
              <w:right w:val="none" w:color="FFFFFF" w:sz="0"/>
            </w:tcBorders>
            <w:shd w:fill="FFFFFF" w:val="clear"/>
            <w:tcMar>
              <w:top w:type="dxa" w:w="100"/>
              <w:left w:type="dxa" w:w="140"/>
              <w:bottom w:type="dxa" w:w="100"/>
              <w:right w:type="dxa" w:w="0"/>
            </w:tcMar>
          </w:tcPr>
          <w:p>
            <w:pPr>
              <w:spacing w:after="0" w:before="0"/>
              <w:jc w:val="left"/>
            </w:pPr>
            <w:r>
              <w:rPr>
                <w:rFonts w:ascii="Calibri" w:cs="Calibri" w:eastAsia="Calibri" w:hAnsi="Calibri"/>
                <w:b w:val="false"/>
                <w:bCs w:val="false"/>
                <w:i w:val="false"/>
                <w:iCs w:val="false"/>
                <w:caps w:val="false"/>
                <w:color w:val="28251D"/>
                <w:sz w:val="19"/>
                <w:szCs w:val="19"/>
              </w:rPr>
              <w:t xml:space="preserve">Continental Results Framework on Women, Peace and Security (2024)</w:t>
            </w:r>
          </w:p>
        </w:tc>
      </w:tr>
    </w:tbl>
    <w:p>
      <w:pPr>
        <w:pBdr>
          <w:bottom w:val="single" w:color="944454" w:sz="12" w:space="1"/>
        </w:pBdr>
        <w:spacing w:after="100" w:before="200"/>
      </w:pPr>
      <w:r>
        <w:t xml:space="preserve"> </w:t>
      </w:r>
    </w:p>
    <w:p>
      <w:pPr>
        <w:spacing w:after="80" w:before="0"/>
        <w:jc w:val="left"/>
      </w:pPr>
      <w:r>
        <w:rPr>
          <w:rFonts w:ascii="Calibri" w:cs="Calibri" w:eastAsia="Calibri" w:hAnsi="Calibri"/>
          <w:b/>
          <w:bCs/>
          <w:i w:val="false"/>
          <w:iCs w:val="false"/>
          <w:caps/>
          <w:color w:val="5B5B5B"/>
          <w:sz w:val="14"/>
          <w:szCs w:val="14"/>
        </w:rPr>
        <w:t xml:space="preserve">SUGGESTED CITATION </w:t>
      </w:r>
      <w:r>
        <w:rPr>
          <w:rFonts w:ascii="Calibri" w:cs="Calibri" w:eastAsia="Calibri" w:hAnsi="Calibri"/>
          <w:b w:val="false"/>
          <w:bCs w:val="false"/>
          <w:i w:val="false"/>
          <w:iCs w:val="false"/>
          <w:caps w:val="false"/>
          <w:color w:val="5B5B5B"/>
          <w:sz w:val="14"/>
          <w:szCs w:val="14"/>
        </w:rPr>
        <w:t xml:space="preserve">— </w:t>
      </w:r>
      <w:r>
        <w:rPr>
          <w:rFonts w:ascii="Calibri" w:cs="Calibri" w:eastAsia="Calibri" w:hAnsi="Calibri"/>
          <w:b w:val="false"/>
          <w:bCs w:val="false"/>
          <w:i/>
          <w:iCs/>
          <w:caps w:val="false"/>
          <w:color w:val="5B5B5B"/>
          <w:sz w:val="14"/>
          <w:szCs w:val="14"/>
        </w:rPr>
        <w:t xml:space="preserve">African Renaissance Trust (2026). “Women, Peace, and FemWise-Africa.” AU Intelligence Series, Institutional Briefing No. 33/36, GENDER EQUALITY pillar. Available at africanrenaissancetrust.org/insights.</w:t>
      </w:r>
    </w:p>
    <w:p>
      <w:pPr>
        <w:spacing w:after="0" w:before="0"/>
        <w:jc w:val="left"/>
      </w:pPr>
      <w:r>
        <w:rPr>
          <w:rFonts w:ascii="Calibri" w:cs="Calibri" w:eastAsia="Calibri" w:hAnsi="Calibri"/>
          <w:b/>
          <w:bCs/>
          <w:i w:val="false"/>
          <w:iCs w:val="false"/>
          <w:caps/>
          <w:color w:val="5B5B5B"/>
          <w:sz w:val="14"/>
          <w:szCs w:val="14"/>
        </w:rPr>
        <w:t xml:space="preserve">FILE METADATA </w:t>
      </w:r>
      <w:r>
        <w:rPr>
          <w:rFonts w:ascii="Calibri" w:cs="Calibri" w:eastAsia="Calibri" w:hAnsi="Calibri"/>
          <w:b w:val="false"/>
          <w:bCs w:val="false"/>
          <w:i w:val="false"/>
          <w:iCs w:val="false"/>
          <w:caps w:val="false"/>
          <w:color w:val="5B5B5B"/>
          <w:sz w:val="14"/>
          <w:szCs w:val="14"/>
        </w:rPr>
        <w:t xml:space="preserve">— </w:t>
      </w:r>
      <w:r>
        <w:rPr>
          <w:rFonts w:ascii="Calibri" w:cs="Calibri" w:eastAsia="Calibri" w:hAnsi="Calibri"/>
          <w:b w:val="false"/>
          <w:bCs w:val="false"/>
          <w:i w:val="false"/>
          <w:iCs w:val="false"/>
          <w:caps w:val="false"/>
          <w:color w:val="5B5B5B"/>
          <w:sz w:val="14"/>
          <w:szCs w:val="14"/>
        </w:rPr>
        <w:t xml:space="preserve">Slug: femwise-africa-women-peace-security · Pillar cluster index: 7/10 · WordPress upload: Insights → Add New → Featured Image required.</w:t>
      </w:r>
    </w:p>
    <w:sectPr>
      <w:headerReference w:type="default" r:id="rId7"/>
      <w:footerReference w:type="default" r:id="rId8"/>
      <w:pgSz w:w="12240" w:h="15840" w:orient="portrait"/>
      <w:pgMar w:top="1296" w:right="1296" w:bottom="1296" w:left="1296"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spacing w:after="0" w:before="0"/>
      <w:jc w:val="center"/>
    </w:pPr>
    <w:r>
      <w:rPr>
        <w:rFonts w:ascii="Calibri" w:cs="Calibri" w:eastAsia="Calibri" w:hAnsi="Calibri"/>
        <w:b w:val="false"/>
        <w:bCs w:val="false"/>
        <w:i w:val="false"/>
        <w:iCs w:val="false"/>
        <w:caps w:val="false"/>
        <w:color w:val="5B5B5B"/>
        <w:sz w:val="14"/>
        <w:szCs w:val="14"/>
      </w:rPr>
      <w:t xml:space="preserve">© African Renaissance Trust 2026  ·  Institutional Briefing  ·  </w:t>
    </w:r>
    <w:r>
      <w:rPr>
        <w:rFonts w:ascii="Calibri" w:cs="Calibri" w:eastAsia="Calibri" w:hAnsi="Calibri"/>
        <w:color w:val="5B5B5B"/>
        <w:sz w:val="14"/>
        <w:szCs w:val="14"/>
      </w:rPr>
      <w:t xml:space="preserve">Brief </w:t>
      <w:fldChar w:fldCharType="begin"/>
      <w:instrText xml:space="preserve">PAGE</w:instrText>
      <w:fldChar w:fldCharType="separate"/>
      <w:fldChar w:fldCharType="end"/>
      <w:t xml:space="preserve"> / 36</w:t>
    </w:r>
    <w:r>
      <w:rPr>
        <w:rFonts w:ascii="Calibri" w:cs="Calibri" w:eastAsia="Calibri" w:hAnsi="Calibri"/>
        <w:b w:val="false"/>
        <w:bCs w:val="false"/>
        <w:i w:val="false"/>
        <w:iCs w:val="false"/>
        <w:caps w:val="false"/>
        <w:color w:val="5B5B5B"/>
        <w:sz w:val="14"/>
        <w:szCs w:val="14"/>
      </w:rPr>
      <w:t xml:space="preserve">  ·  insights.africanrenaissancetrust.org</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spacing w:after="60" w:before="0"/>
      <w:jc w:val="left"/>
    </w:pPr>
    <w:r>
      <w:rPr>
        <w:rFonts w:ascii="Calibri" w:cs="Calibri" w:eastAsia="Calibri" w:hAnsi="Calibri"/>
        <w:b/>
        <w:bCs/>
        <w:i w:val="false"/>
        <w:iCs w:val="false"/>
        <w:caps/>
        <w:color w:val="1F2A2C"/>
        <w:sz w:val="16"/>
        <w:szCs w:val="16"/>
      </w:rPr>
      <w:t xml:space="preserve">AFRICAN RENAISSANCE TRUST</w:t>
    </w:r>
    <w:r>
      <w:rPr>
        <w:rFonts w:ascii="Calibri" w:cs="Calibri" w:eastAsia="Calibri" w:hAnsi="Calibri"/>
        <w:b w:val="false"/>
        <w:bCs w:val="false"/>
        <w:i w:val="false"/>
        <w:iCs w:val="false"/>
        <w:caps w:val="false"/>
        <w:color w:val="5B5B5B"/>
        <w:sz w:val="16"/>
        <w:szCs w:val="16"/>
      </w:rPr>
      <w:t xml:space="preserve">   ·   </w:t>
    </w:r>
    <w:r>
      <w:rPr>
        <w:rFonts w:ascii="Calibri" w:cs="Calibri" w:eastAsia="Calibri" w:hAnsi="Calibri"/>
        <w:b w:val="false"/>
        <w:bCs w:val="false"/>
        <w:i w:val="false"/>
        <w:iCs w:val="false"/>
        <w:caps/>
        <w:color w:val="5B5B5B"/>
        <w:sz w:val="16"/>
        <w:szCs w:val="16"/>
      </w:rPr>
      <w:t xml:space="preserve">AU INTELLIGENCE SERIES</w:t>
    </w:r>
    <w:r>
      <w:rPr>
        <w:rFonts w:ascii="Calibri" w:cs="Calibri" w:eastAsia="Calibri" w:hAnsi="Calibri"/>
        <w:b w:val="false"/>
        <w:bCs w:val="false"/>
        <w:i w:val="false"/>
        <w:iCs w:val="false"/>
        <w:caps w:val="false"/>
        <w:color w:val="5B5B5B"/>
        <w:sz w:val="16"/>
        <w:szCs w:val="16"/>
      </w:rPr>
      <w:t xml:space="preserve">   ·   </w:t>
    </w:r>
    <w:r>
      <w:rPr>
        <w:rFonts w:ascii="Calibri" w:cs="Calibri" w:eastAsia="Calibri" w:hAnsi="Calibri"/>
        <w:b/>
        <w:bCs/>
        <w:i w:val="false"/>
        <w:iCs w:val="false"/>
        <w:caps/>
        <w:color w:val="944454"/>
        <w:sz w:val="16"/>
        <w:szCs w:val="16"/>
      </w:rPr>
      <w:t xml:space="preserve">GENDER EQUALITY</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28251D"/>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Women, Peace, and FemWise-Africa — AU Intelligence Brief 33/30</dc:title>
  <dc:creator>African Renaissance Trust</dc:creator>
  <dc:description>The continent now has an institutional answer to UNSCR 1325 — a standing network of women mediators deployed across active African conflicts</dc:description>
  <cp:lastModifiedBy>Un-named</cp:lastModifiedBy>
  <cp:revision>1</cp:revision>
  <dcterms:created xsi:type="dcterms:W3CDTF">2026-05-12T23:56:43.431Z</dcterms:created>
  <dcterms:modified xsi:type="dcterms:W3CDTF">2026-05-12T23:56:43.431Z</dcterms:modified>
</cp:coreProperties>
</file>

<file path=docProps/custom.xml><?xml version="1.0" encoding="utf-8"?>
<Properties xmlns="http://schemas.openxmlformats.org/officeDocument/2006/custom-properties" xmlns:vt="http://schemas.openxmlformats.org/officeDocument/2006/docPropsVTypes"/>
</file>