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34/36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The Gender Data Gap</w:t>
      </w:r>
    </w:p>
    <w:p>
      <w:pPr>
        <w:spacing w:after="200" w:before="0" w:line="300"/>
        <w:jc w:val="left"/>
      </w:pPr>
      <w:r>
        <w:rPr>
          <w:rFonts w:ascii="Calibri" w:cs="Calibri" w:eastAsia="Calibri" w:hAnsi="Calibri"/>
          <w:b w:val="false"/>
          <w:bCs w:val="false"/>
          <w:i/>
          <w:iCs/>
          <w:caps w:val="false"/>
          <w:color w:val="944454"/>
          <w:sz w:val="24"/>
          <w:szCs w:val="24"/>
        </w:rPr>
        <w:t xml:space="preserve">Africa now has continental indicators on gender — but only nineteen national statistics offices can populate them on a consistent cycle</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The African Union's Gender Scorecard was relaunched in 2024 with 33 indicators across rights, economic empowerment, decision-making, and gender-based violence. The Sustainable Development Goal 5 framework requires the same states to report on 14 indicators on a five-year cycle. The Maputo Protocol's monitoring framework adds another 27. In total, every AU member state is now expected to produce roughly 70 gender-disaggregated statistical indicators on a defined reporting cycle. Nineteen national statistics offices currently have the survey instruments, sampling frames, and personnel to meet that requirement. The remaining thirty-six do not.</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reason is structural: gender-sensitive data requires time-use surveys, violence-against-women prevalence surveys, and disaggregated labour-force surveys, each of which carries dedicated costs and trained enumeration teams. The cost of a single nationally representative violence-against-women prevalence survey is between $1.2 million and $2.8 million depending on country size and security conditions. Most African national statistics offices have not run one since the early 2010s, and several never have. Without these surveys, the AU Scorecard relies on modelled estimates rather than measured data — and modelled estimates do not survive parliamentary scrutiny.</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institutional response is now visible. The African Centre for Statistics, hosted at UNECA, has launched a five-year Gender Data Programme with a $42 million target. The African Statistical Coordination Committee has prioritised time-use surveys across ten lead states. Kenya, South Africa, Senegal, and Tunisia are functioning as regional methodology hubs, training enumerators from neighbouring states. The financing model is co-investment: national budgets cover survey delivery, continental funds cover methodology and quality assurance, and partner funds cover the gap. The structure is unusually clean.</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continental partners, gender data is the precondition for almost every other gender investment. Without it, decision-makers cannot identify priority interventions, parliaments cannot hold ministries to account, and donors cannot measure outcomes. The proposition is small in dollar terms — a fully funded continental gender-data programme would cost less than $80 million over five years — and disproportionately high in leverage. It is the cheapest single investment in the gender-equality architecture.</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The gender data gap is the most under-funded leverage point in the continental gender architecture. Indicators without surveys produce reports that decision-makers discount. A modest, well-targeted statistical investment converts every other gender-equality investment from advocacy to evidence, and creates the accountability infrastructure that makes scorecards politically consequential.</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gender data is the cheapest single investment in the continental gender architecture. A fully funded continental gender-data programme — roughly $80 million over five years — is the precondition that converts every other gender investment from advocacy into evidence. Without it, scorecards lack teeth and parliaments lack the basis to hold ministries to account.</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Reporting burden</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~70 gender-disaggregated indicators per state (AU Scorecard + SDG 5 + Maputo)</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Survey capacity</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19/55 national statistics offices able to populate consistently</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Survey cost</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Violence-against-women prevalence survey: $1.2–2.8 m per country</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Continental vehicle</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African Centre for Statistics — $42 m Gender Data Programme over 5 years</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Methodology hubs</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Kenya · South Africa · Senegal · Tunisia training regional enumerators</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“The Gender Data Gap.” AU Intelligence Series, Institutional Briefing No. 34/36,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africa-gender-data-gap · Pillar cluster index: 8/10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Gender Data Gap — AU Intelligence Brief 34/30</dc:title>
  <dc:creator>African Renaissance Trust</dc:creator>
  <dc:description>Africa now has continental indicators on gender — but only nineteen national statistics offices can populate them on a consistent cycle</dc:description>
  <cp:lastModifiedBy>Un-named</cp:lastModifiedBy>
  <cp:revision>1</cp:revision>
  <dcterms:created xsi:type="dcterms:W3CDTF">2026-05-12T23:56:43.458Z</dcterms:created>
  <dcterms:modified xsi:type="dcterms:W3CDTF">2026-05-12T23:56:43.458Z</dcterms:modified>
</cp:coreProperties>
</file>

<file path=docProps/custom.xml><?xml version="1.0" encoding="utf-8"?>
<Properties xmlns="http://schemas.openxmlformats.org/officeDocument/2006/custom-properties" xmlns:vt="http://schemas.openxmlformats.org/officeDocument/2006/docPropsVTypes"/>
</file>