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none" w:color="FFFFFF" w:sz="0"/>
              <w:left w:val="none" w:color="FFFFFF" w:sz="0"/>
              <w:bottom w:val="single" w:color="944454" w:sz="12"/>
              <w:right w:val="none" w:color="FFFFFF" w:sz="0"/>
            </w:tcBorders>
            <w:shd w:fill="FFFFFF" w:val="clear"/>
            <w:tcMar>
              <w:top w:type="dxa" w:w="60"/>
              <w:left w:type="dxa" w:w="0"/>
              <w:bottom w:type="dxa" w:w="60"/>
              <w:right w:type="dxa" w:w="0"/>
            </w:tcMar>
          </w:tcPr>
          <w:p>
            <w:pPr>
              <w:spacing w:after="60" w:before="0"/>
              <w:jc w:val="left"/>
            </w:pPr>
            <w:r>
              <w:rPr>
                <w:rFonts w:ascii="Calibri" w:cs="Calibri" w:eastAsia="Calibri" w:hAnsi="Calibri"/>
                <w:b/>
                <w:bCs/>
                <w:i w:val="false"/>
                <w:iCs w:val="false"/>
                <w:caps/>
                <w:color w:val="1F2A2C"/>
                <w:sz w:val="22"/>
                <w:szCs w:val="22"/>
              </w:rPr>
              <w:t xml:space="preserve">AFRICAN RENAISSANCE TRUST</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color w:val="5B5B5B"/>
                <w:sz w:val="22"/>
                <w:szCs w:val="22"/>
              </w:rPr>
              <w:t xml:space="preserve">INSTITUTIONAL BRIEFING</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val="false"/>
                <w:color w:val="944454"/>
                <w:sz w:val="22"/>
                <w:szCs w:val="22"/>
              </w:rPr>
              <w:t xml:space="preserve">No. 35/36</w:t>
            </w:r>
          </w:p>
          <w:p>
            <w:pPr>
              <w:spacing w:after="80" w:before="0"/>
              <w:jc w:val="left"/>
            </w:pPr>
            <w:r>
              <w:rPr>
                <w:rFonts w:ascii="Calibri" w:cs="Calibri" w:eastAsia="Calibri" w:hAnsi="Calibri"/>
                <w:b/>
                <w:bCs/>
                <w:i w:val="false"/>
                <w:iCs w:val="false"/>
                <w:caps/>
                <w:color w:val="944454"/>
                <w:sz w:val="18"/>
                <w:szCs w:val="18"/>
              </w:rPr>
              <w:t xml:space="preserve">GENDER EQUALITY</w:t>
            </w:r>
            <w:r>
              <w:rPr>
                <w:rFonts w:ascii="Calibri" w:cs="Calibri" w:eastAsia="Calibri" w:hAnsi="Calibri"/>
                <w:b w:val="false"/>
                <w:bCs w:val="false"/>
                <w:i w:val="false"/>
                <w:iCs w:val="false"/>
                <w:caps w:val="false"/>
                <w:color w:val="5B5B5B"/>
                <w:sz w:val="18"/>
                <w:szCs w:val="18"/>
              </w:rPr>
              <w:t xml:space="preserve">   |   </w:t>
            </w:r>
            <w:r>
              <w:rPr>
                <w:rFonts w:ascii="Calibri" w:cs="Calibri" w:eastAsia="Calibri" w:hAnsi="Calibri"/>
                <w:b w:val="false"/>
                <w:bCs w:val="false"/>
                <w:i/>
                <w:iCs/>
                <w:caps w:val="false"/>
                <w:color w:val="5B5B5B"/>
                <w:sz w:val="18"/>
                <w:szCs w:val="18"/>
              </w:rPr>
              <w:t xml:space="preserve">Rights · Representation · Decision-Making Architecture</w:t>
            </w:r>
          </w:p>
        </w:tc>
      </w:tr>
    </w:tbl>
    <w:p>
      <w:pPr>
        <w:spacing w:after="40" w:before="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rPr>
          <w:trHeight w:val="2592" w:hRule="atLeast"/>
        </w:trPr>
        <w:tc>
          <w:tcPr>
            <w:tcW w:type="dxa" w:w="9648"/>
            <w:tcBorders>
              <w:top w:val="dashed" w:color="D4D1CA" w:sz="6"/>
              <w:left w:val="dashed" w:color="D4D1CA" w:sz="6"/>
              <w:bottom w:val="dashed" w:color="D4D1CA" w:sz="6"/>
              <w:right w:val="dashed" w:color="D4D1CA" w:sz="6"/>
            </w:tcBorders>
            <w:shd w:fill="EFE9DA" w:val="clear"/>
            <w:tcMar>
              <w:top w:type="dxa" w:w="240"/>
              <w:left w:type="dxa" w:w="240"/>
              <w:bottom w:type="dxa" w:w="240"/>
              <w:right w:type="dxa" w:w="240"/>
            </w:tcMar>
            <w:vAlign w:val="center"/>
          </w:tcPr>
          <w:p>
            <w:pPr>
              <w:spacing w:after="40" w:before="0"/>
              <w:jc w:val="center"/>
            </w:pPr>
            <w:r>
              <w:rPr>
                <w:rFonts w:ascii="Calibri" w:cs="Calibri" w:eastAsia="Calibri" w:hAnsi="Calibri"/>
                <w:b/>
                <w:bCs/>
                <w:i w:val="false"/>
                <w:iCs w:val="false"/>
                <w:caps/>
                <w:color w:val="5B5B5B"/>
                <w:sz w:val="24"/>
                <w:szCs w:val="24"/>
              </w:rPr>
              <w:t xml:space="preserve">THUMBNAIL IMAGE</w:t>
            </w:r>
          </w:p>
          <w:p>
            <w:pPr>
              <w:spacing w:after="20" w:before="0"/>
              <w:jc w:val="center"/>
            </w:pPr>
            <w:r>
              <w:rPr>
                <w:rFonts w:ascii="Calibri" w:cs="Calibri" w:eastAsia="Calibri" w:hAnsi="Calibri"/>
                <w:b w:val="false"/>
                <w:bCs w:val="false"/>
                <w:i/>
                <w:iCs/>
                <w:caps w:val="false"/>
                <w:color w:val="5B5B5B"/>
                <w:sz w:val="18"/>
                <w:szCs w:val="18"/>
              </w:rPr>
              <w:t xml:space="preserve">Replace this placeholder with the featured image (1200 × 675 px recommended, 16:9).</w:t>
            </w:r>
          </w:p>
          <w:p>
            <w:pPr>
              <w:spacing w:after="0" w:before="0"/>
              <w:jc w:val="center"/>
            </w:pPr>
            <w:r>
              <w:rPr>
                <w:rFonts w:ascii="Calibri" w:cs="Calibri" w:eastAsia="Calibri" w:hAnsi="Calibri"/>
                <w:b w:val="false"/>
                <w:bCs w:val="false"/>
                <w:i w:val="false"/>
                <w:iCs w:val="false"/>
                <w:caps w:val="false"/>
                <w:color w:val="5B5B5B"/>
                <w:sz w:val="16"/>
                <w:szCs w:val="16"/>
              </w:rPr>
              <w:t xml:space="preserve">For WordPress upload: set the same image as the post Featured Image.</w:t>
            </w:r>
          </w:p>
        </w:tc>
      </w:tr>
    </w:tbl>
    <w:p>
      <w:pPr>
        <w:spacing w:after="80" w:before="280" w:line="280"/>
        <w:jc w:val="left"/>
      </w:pPr>
      <w:r>
        <w:rPr>
          <w:rFonts w:ascii="Calibri" w:cs="Calibri" w:eastAsia="Calibri" w:hAnsi="Calibri"/>
          <w:b/>
          <w:bCs/>
          <w:i w:val="false"/>
          <w:iCs w:val="false"/>
          <w:caps w:val="false"/>
          <w:color w:val="1F2A2C"/>
          <w:sz w:val="44"/>
          <w:szCs w:val="44"/>
        </w:rPr>
        <w:t xml:space="preserve">Adolescent Girls and the Demographic Dividend</w:t>
      </w:r>
    </w:p>
    <w:p>
      <w:pPr>
        <w:spacing w:after="200" w:before="0" w:line="300"/>
        <w:jc w:val="left"/>
      </w:pPr>
      <w:r>
        <w:rPr>
          <w:rFonts w:ascii="Calibri" w:cs="Calibri" w:eastAsia="Calibri" w:hAnsi="Calibri"/>
          <w:b w:val="false"/>
          <w:bCs w:val="false"/>
          <w:i/>
          <w:iCs/>
          <w:caps w:val="false"/>
          <w:color w:val="944454"/>
          <w:sz w:val="24"/>
          <w:szCs w:val="24"/>
        </w:rPr>
        <w:t xml:space="preserve">Africa's working-age population will double to 1.1 billion by 2050 — whether the dividend is realised depends on the next decade of investment in adolescent girls</w:t>
      </w:r>
    </w:p>
    <w:p>
      <w:pPr>
        <w:pBdr>
          <w:bottom w:val="single" w:color="D4D1CA" w:sz="4" w:space="1"/>
        </w:pBdr>
        <w:spacing w:after="200" w:before="0"/>
      </w:pPr>
      <w: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216"/>
        <w:gridCol w:w="3216"/>
        <w:gridCol w:w="3216"/>
      </w:tblGrid>
      <w:tr>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SERIES</w:t>
            </w:r>
          </w:p>
          <w:p>
            <w:pPr>
              <w:spacing w:after="0" w:before="0"/>
              <w:jc w:val="left"/>
            </w:pPr>
            <w:r>
              <w:rPr>
                <w:rFonts w:ascii="Calibri" w:cs="Calibri" w:eastAsia="Calibri" w:hAnsi="Calibri"/>
                <w:b w:val="false"/>
                <w:bCs w:val="false"/>
                <w:i w:val="false"/>
                <w:iCs w:val="false"/>
                <w:caps w:val="false"/>
                <w:color w:val="28251D"/>
                <w:sz w:val="17"/>
                <w:szCs w:val="17"/>
              </w:rPr>
              <w:t xml:space="preserve">AU Intelligence · 36-Brief Series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AUDIENCE</w:t>
            </w:r>
          </w:p>
          <w:p>
            <w:pPr>
              <w:spacing w:after="0" w:before="0"/>
              <w:jc w:val="left"/>
            </w:pPr>
            <w:r>
              <w:rPr>
                <w:rFonts w:ascii="Calibri" w:cs="Calibri" w:eastAsia="Calibri" w:hAnsi="Calibri"/>
                <w:b w:val="false"/>
                <w:bCs w:val="false"/>
                <w:i w:val="false"/>
                <w:iCs w:val="false"/>
                <w:caps w:val="false"/>
                <w:color w:val="28251D"/>
                <w:sz w:val="17"/>
                <w:szCs w:val="17"/>
              </w:rPr>
              <w:t xml:space="preserve">Donor desks · Parliamentary committees · Ministerial offices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FORMAT</w:t>
            </w:r>
          </w:p>
          <w:p>
            <w:pPr>
              <w:spacing w:after="0" w:before="0"/>
              <w:jc w:val="left"/>
            </w:pPr>
            <w:r>
              <w:rPr>
                <w:rFonts w:ascii="Calibri" w:cs="Calibri" w:eastAsia="Calibri" w:hAnsi="Calibri"/>
                <w:b w:val="false"/>
                <w:bCs w:val="false"/>
                <w:i w:val="false"/>
                <w:iCs w:val="false"/>
                <w:caps w:val="false"/>
                <w:color w:val="28251D"/>
                <w:sz w:val="17"/>
                <w:szCs w:val="17"/>
              </w:rPr>
              <w:t xml:space="preserve">One-page institutional briefing · Tabling-ready</w:t>
            </w:r>
          </w:p>
        </w:tc>
      </w:tr>
    </w:tbl>
    <w:p>
      <w:pPr>
        <w:spacing w:after="60" w:before="0"/>
        <w:jc w:val="left"/>
      </w:pPr>
      <w:r>
        <w:rPr>
          <w:rFonts w:ascii="Calibri" w:cs="Calibri" w:eastAsia="Calibri" w:hAnsi="Calibri"/>
          <w:b w:val="false"/>
          <w:bCs w:val="false"/>
          <w:i w:val="false"/>
          <w:iCs w:val="false"/>
          <w:caps w:val="false"/>
          <w:color w:val="28251D"/>
          <w:sz w:val="8"/>
          <w:szCs w:val="8"/>
        </w:rPr>
        <w:t xml:space="preserve"> </w:t>
      </w:r>
    </w:p>
    <w:p>
      <w:pPr>
        <w:pBdr>
          <w:left w:val="single" w:color="944454" w:sz="18" w:space="12"/>
        </w:pBdr>
        <w:spacing w:after="160" w:before="120" w:line="320"/>
        <w:ind w:left="200"/>
      </w:pPr>
      <w:r>
        <w:rPr>
          <w:rFonts w:ascii="Calibri" w:cs="Calibri" w:eastAsia="Calibri" w:hAnsi="Calibri"/>
          <w:b w:val="false"/>
          <w:bCs w:val="false"/>
          <w:i w:val="false"/>
          <w:iCs w:val="false"/>
          <w:caps w:val="false"/>
          <w:color w:val="28251D"/>
          <w:sz w:val="23"/>
          <w:szCs w:val="23"/>
        </w:rPr>
        <w:t xml:space="preserve">By 2050, Africa will be home to roughly 1.1 billion people aged 15 to 64, up from approximately 740 million today. The continent will provide the majority of the world's net workforce growth for the next three decades — the largest demographic shift since post-war Asia. Economists at the African Development Bank estimate that capturing the full demographic dividend could add 0.5 to 1.5 percentage points to annual GDP growth across the continent. The condition is investment in human capital — particularly in adolescent girls aged 10 to 19, whose education, health, and labour-market entry will determine whether the dividend materialises or evaporates.</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numbers on adolescent girls today are unforgiving. Across Sub-Saharan Africa, roughly 32% of girls aged 15 to 19 are married before 18. Adolescent fertility remains at 99 births per 1,000 girls aged 15 to 19 — more than twice the global average. Secondary-school completion for girls is approximately 41%. HIV incidence among adolescent girls and young women in eastern and southern Africa is two to three times that of their male peers. Each of these indicators is a leak in the human-capital pipeline that the demographic dividend is supposed to fill.</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continental response is now coherent. The AU Continental Education Strategy 2026–2035 sets a 75% target for girls' secondary completion. The Africa Health Strategy embeds adolescent-friendly health services as a primary-care benchmark. The AU Roadmap on Harnessing the Demographic Dividend, adopted in 2017 and renewed at the 2024 Summit, places adolescent girls at the centre of its four operational pillars — employment, education, health, and rights and governance. National Demographic Dividend Profiles now exist for 37 countries, each one quantifying the cost of inaction and the return on investment.</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financing gap is the binding constraint. The Africa Education Plus initiative, launched in 2024, estimates that closing the secondary-education gender gap alone requires an additional $9 billion annually across the continent. Adolescent reproductive-health programming requires another $3 billion. These are large numbers but not unmanageable ones — they sit within range of existing donor portfolios if rationalised, and they map onto specific institutional vehicles. The political coalition is already in place: ministries of finance, education, health, and gender are unusually aligned on the demographic-dividend frame.</w:t>
      </w:r>
    </w:p>
    <w:p>
      <w:pPr>
        <w:spacing w:after="60" w:before="10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00696F" w:sz="6"/>
              <w:left w:val="single" w:color="00696F" w:sz="18"/>
              <w:bottom w:val="single" w:color="00696F" w:sz="6"/>
              <w:right w:val="single" w:color="00696F" w:sz="6"/>
            </w:tcBorders>
            <w:shd w:fill="E9F2F2"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00696F"/>
                <w:sz w:val="18"/>
                <w:szCs w:val="18"/>
              </w:rPr>
              <w:t xml:space="preserve">ART INSIGHT — Institutional Read</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The demographic dividend is the closest thing the continent has to a single overarching investment frame for gender equality, education, and health combined. Adolescent girls sit at the intersection of all three. The institutional architecture — Roadmap, Strategy, Country Profiles — is in place; what is missing is portfolio-scale financing aligned to the ten-year window where adolescent girls today become the workforce of 2035.</w:t>
            </w:r>
          </w:p>
        </w:tc>
      </w:tr>
    </w:tbl>
    <w:p>
      <w:pPr>
        <w:spacing w:after="60" w:before="8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C8B2C" w:sz="6"/>
              <w:left w:val="single" w:color="BC8B2C" w:sz="18"/>
              <w:bottom w:val="single" w:color="BC8B2C" w:sz="6"/>
              <w:right w:val="single" w:color="BC8B2C" w:sz="6"/>
            </w:tcBorders>
            <w:shd w:fill="F7F0DC"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BC8B2C"/>
                <w:sz w:val="18"/>
                <w:szCs w:val="18"/>
              </w:rPr>
              <w:t xml:space="preserve">DONOR RELEVANCE — Decision Implication</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For donors, adolescent girls are the demographic dividend's decisive variable. The AU Roadmap, Education Strategy, and Country Profiles are in place; what is missing is portfolio-scale financing aligned to the ten-year window where today's adolescent girls become the workforce of 2035. Investments here compound across gender, education, and health portfolios simultaneously.</w:t>
            </w:r>
          </w:p>
        </w:tc>
      </w:tr>
    </w:tbl>
    <w:p>
      <w:pPr>
        <w:spacing w:after="60" w:before="240"/>
        <w:jc w:val="left"/>
      </w:pPr>
      <w:r>
        <w:rPr>
          <w:rFonts w:ascii="Calibri" w:cs="Calibri" w:eastAsia="Calibri" w:hAnsi="Calibri"/>
          <w:b/>
          <w:bCs/>
          <w:i w:val="false"/>
          <w:iCs w:val="false"/>
          <w:caps/>
          <w:color w:val="5B5B5B"/>
          <w:sz w:val="18"/>
          <w:szCs w:val="18"/>
        </w:rPr>
        <w:t xml:space="preserve">AT-A-GLANCE ANALYTICS</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087"/>
        <w:gridCol w:w="6560"/>
      </w:tblGrid>
      <w:tr>
        <w:tc>
          <w:tcPr>
            <w:tcW w:type="dxa" w:w="3087"/>
            <w:tcBorders>
              <w:top w:val="single" w:color="1F2A2C" w:sz="18"/>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Demographic frame</w:t>
            </w:r>
          </w:p>
        </w:tc>
        <w:tc>
          <w:tcPr>
            <w:tcW w:type="dxa" w:w="6560"/>
            <w:tcBorders>
              <w:top w:val="single" w:color="1F2A2C" w:sz="18"/>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African working-age population: 740 m → 1.1 bn by 2050</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Dividend potential</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+0.5 to +1.5 pp annual GDP growth if dividend captured (AfDB)</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Adolescent girls today</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32% married before 18 · 99 births/1,000 girls aged 15–19 · ~41% secondary completion</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Continental framework</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AU Roadmap on Demographic Dividend (renewed 2024) · Continental Education Strategy 2026–35</w:t>
            </w:r>
          </w:p>
        </w:tc>
      </w:tr>
      <w:tr>
        <w:tc>
          <w:tcPr>
            <w:tcW w:type="dxa" w:w="3087"/>
            <w:tcBorders>
              <w:top w:val="single" w:color="D4D1CA" w:sz="4"/>
              <w:left w:val="none" w:color="FFFFFF" w:sz="0"/>
              <w:bottom w:val="single" w:color="1F2A2C" w:sz="18"/>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Financing gap</w:t>
            </w:r>
          </w:p>
        </w:tc>
        <w:tc>
          <w:tcPr>
            <w:tcW w:type="dxa" w:w="6560"/>
            <w:tcBorders>
              <w:top w:val="single" w:color="D4D1CA" w:sz="4"/>
              <w:left w:val="single" w:color="D4D1CA" w:sz="4"/>
              <w:bottom w:val="single" w:color="1F2A2C" w:sz="18"/>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Closing girls' secondary gap: ~$9 bn/yr · adolescent reproductive health: ~$3 bn/yr</w:t>
            </w:r>
          </w:p>
        </w:tc>
      </w:tr>
    </w:tbl>
    <w:p>
      <w:pPr>
        <w:pBdr>
          <w:bottom w:val="single" w:color="944454" w:sz="12" w:space="1"/>
        </w:pBdr>
        <w:spacing w:after="100" w:before="200"/>
      </w:pPr>
      <w:r>
        <w:t xml:space="preserve"> </w:t>
      </w:r>
    </w:p>
    <w:p>
      <w:pPr>
        <w:spacing w:after="80" w:before="0"/>
        <w:jc w:val="left"/>
      </w:pPr>
      <w:r>
        <w:rPr>
          <w:rFonts w:ascii="Calibri" w:cs="Calibri" w:eastAsia="Calibri" w:hAnsi="Calibri"/>
          <w:b/>
          <w:bCs/>
          <w:i w:val="false"/>
          <w:iCs w:val="false"/>
          <w:caps/>
          <w:color w:val="5B5B5B"/>
          <w:sz w:val="14"/>
          <w:szCs w:val="14"/>
        </w:rPr>
        <w:t xml:space="preserve">SUGGESTED CITATION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iCs/>
          <w:caps w:val="false"/>
          <w:color w:val="5B5B5B"/>
          <w:sz w:val="14"/>
          <w:szCs w:val="14"/>
        </w:rPr>
        <w:t xml:space="preserve">African Renaissance Trust (2026). “Adolescent Girls and the Demographic Dividend.” AU Intelligence Series, Institutional Briefing No. 35/36, GENDER EQUALITY pillar. Available at africanrenaissancetrust.org/insights.</w:t>
      </w:r>
    </w:p>
    <w:p>
      <w:pPr>
        <w:spacing w:after="0" w:before="0"/>
        <w:jc w:val="left"/>
      </w:pPr>
      <w:r>
        <w:rPr>
          <w:rFonts w:ascii="Calibri" w:cs="Calibri" w:eastAsia="Calibri" w:hAnsi="Calibri"/>
          <w:b/>
          <w:bCs/>
          <w:i w:val="false"/>
          <w:iCs w:val="false"/>
          <w:caps/>
          <w:color w:val="5B5B5B"/>
          <w:sz w:val="14"/>
          <w:szCs w:val="14"/>
        </w:rPr>
        <w:t xml:space="preserve">FILE METADATA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val="false"/>
          <w:iCs w:val="false"/>
          <w:caps w:val="false"/>
          <w:color w:val="5B5B5B"/>
          <w:sz w:val="14"/>
          <w:szCs w:val="14"/>
        </w:rPr>
        <w:t xml:space="preserve">Slug: adolescent-girls-demographic-dividend · Pillar cluster index: 9/10 · WordPress upload: Insights → Add New → Featured Image required.</w:t>
      </w:r>
    </w:p>
    <w:sectPr>
      <w:headerReference w:type="default" r:id="rId7"/>
      <w:footerReference w:type="default" r:id="rId8"/>
      <w:pgSz w:w="12240" w:h="15840"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Calibri" w:cs="Calibri" w:eastAsia="Calibri" w:hAnsi="Calibri"/>
        <w:b w:val="false"/>
        <w:bCs w:val="false"/>
        <w:i w:val="false"/>
        <w:iCs w:val="false"/>
        <w:caps w:val="false"/>
        <w:color w:val="5B5B5B"/>
        <w:sz w:val="14"/>
        <w:szCs w:val="14"/>
      </w:rPr>
      <w:t xml:space="preserve">© African Renaissance Trust 2026  ·  Institutional Briefing  ·  </w:t>
    </w:r>
    <w:r>
      <w:rPr>
        <w:rFonts w:ascii="Calibri" w:cs="Calibri" w:eastAsia="Calibri" w:hAnsi="Calibri"/>
        <w:color w:val="5B5B5B"/>
        <w:sz w:val="14"/>
        <w:szCs w:val="14"/>
      </w:rPr>
      <w:t xml:space="preserve">Brief </w:t>
      <w:fldChar w:fldCharType="begin"/>
      <w:instrText xml:space="preserve">PAGE</w:instrText>
      <w:fldChar w:fldCharType="separate"/>
      <w:fldChar w:fldCharType="end"/>
      <w:t xml:space="preserve"> / 36</w:t>
    </w:r>
    <w:r>
      <w:rPr>
        <w:rFonts w:ascii="Calibri" w:cs="Calibri" w:eastAsia="Calibri" w:hAnsi="Calibri"/>
        <w:b w:val="false"/>
        <w:bCs w:val="false"/>
        <w:i w:val="false"/>
        <w:iCs w:val="false"/>
        <w:caps w:val="false"/>
        <w:color w:val="5B5B5B"/>
        <w:sz w:val="14"/>
        <w:szCs w:val="14"/>
      </w:rPr>
      <w:t xml:space="preserve">  ·  insights.africanrenaissancetrust.org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60" w:before="0"/>
      <w:jc w:val="left"/>
    </w:pPr>
    <w:r>
      <w:rPr>
        <w:rFonts w:ascii="Calibri" w:cs="Calibri" w:eastAsia="Calibri" w:hAnsi="Calibri"/>
        <w:b/>
        <w:bCs/>
        <w:i w:val="false"/>
        <w:iCs w:val="false"/>
        <w:caps/>
        <w:color w:val="1F2A2C"/>
        <w:sz w:val="16"/>
        <w:szCs w:val="16"/>
      </w:rPr>
      <w:t xml:space="preserve">AFRICAN RENAISSANCE TRUST</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val="false"/>
        <w:bCs w:val="false"/>
        <w:i w:val="false"/>
        <w:iCs w:val="false"/>
        <w:caps/>
        <w:color w:val="5B5B5B"/>
        <w:sz w:val="16"/>
        <w:szCs w:val="16"/>
      </w:rPr>
      <w:t xml:space="preserve">AU INTELLIGENCE SERIES</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bCs/>
        <w:i w:val="false"/>
        <w:iCs w:val="false"/>
        <w:caps/>
        <w:color w:val="944454"/>
        <w:sz w:val="16"/>
        <w:szCs w:val="16"/>
      </w:rPr>
      <w:t xml:space="preserve">GENDER EQUALITY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Adolescent Girls and the Demographic Dividend — AU Intelligence Brief 35/30</dc:title>
  <dc:creator>African Renaissance Trust</dc:creator>
  <dc:description>Africa's working-age population will double to 1.1 billion by 2050 — whether the dividend is realised depends on the next decade of investment in adolescent girls</dc:description>
  <cp:lastModifiedBy>Un-named</cp:lastModifiedBy>
  <cp:revision>1</cp:revision>
  <dcterms:created xsi:type="dcterms:W3CDTF">2026-05-12T23:56:43.472Z</dcterms:created>
  <dcterms:modified xsi:type="dcterms:W3CDTF">2026-05-12T23:56:43.472Z</dcterms:modified>
</cp:coreProperties>
</file>

<file path=docProps/custom.xml><?xml version="1.0" encoding="utf-8"?>
<Properties xmlns="http://schemas.openxmlformats.org/officeDocument/2006/custom-properties" xmlns:vt="http://schemas.openxmlformats.org/officeDocument/2006/docPropsVTypes"/>
</file>