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none" w:color="FFFFFF" w:sz="0"/>
              <w:left w:val="none" w:color="FFFFFF" w:sz="0"/>
              <w:bottom w:val="single" w:color="944454" w:sz="12"/>
              <w:right w:val="none" w:color="FFFFFF" w:sz="0"/>
            </w:tcBorders>
            <w:shd w:fill="FFFFFF" w:val="clear"/>
            <w:tcMar>
              <w:top w:type="dxa" w:w="60"/>
              <w:left w:type="dxa" w:w="0"/>
              <w:bottom w:type="dxa" w:w="60"/>
              <w:right w:type="dxa" w:w="0"/>
            </w:tcMar>
          </w:tcPr>
          <w:p>
            <w:pPr>
              <w:spacing w:after="60" w:before="0"/>
              <w:jc w:val="left"/>
            </w:pPr>
            <w:r>
              <w:rPr>
                <w:rFonts w:ascii="Calibri" w:cs="Calibri" w:eastAsia="Calibri" w:hAnsi="Calibri"/>
                <w:b/>
                <w:bCs/>
                <w:i w:val="false"/>
                <w:iCs w:val="false"/>
                <w:caps/>
                <w:color w:val="1F2A2C"/>
                <w:sz w:val="22"/>
                <w:szCs w:val="22"/>
              </w:rPr>
              <w:t xml:space="preserve">AFRICAN RENAISSANCE TRUST</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color w:val="5B5B5B"/>
                <w:sz w:val="22"/>
                <w:szCs w:val="22"/>
              </w:rPr>
              <w:t xml:space="preserve">INSTITUTIONAL BRIEFING</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val="false"/>
                <w:color w:val="944454"/>
                <w:sz w:val="22"/>
                <w:szCs w:val="22"/>
              </w:rPr>
              <w:t xml:space="preserve">No. 36/36</w:t>
            </w:r>
          </w:p>
          <w:p>
            <w:pPr>
              <w:spacing w:after="80" w:before="0"/>
              <w:jc w:val="left"/>
            </w:pPr>
            <w:r>
              <w:rPr>
                <w:rFonts w:ascii="Calibri" w:cs="Calibri" w:eastAsia="Calibri" w:hAnsi="Calibri"/>
                <w:b/>
                <w:bCs/>
                <w:i w:val="false"/>
                <w:iCs w:val="false"/>
                <w:caps/>
                <w:color w:val="944454"/>
                <w:sz w:val="18"/>
                <w:szCs w:val="18"/>
              </w:rPr>
              <w:t xml:space="preserve">GENDER EQUALITY</w:t>
            </w:r>
            <w:r>
              <w:rPr>
                <w:rFonts w:ascii="Calibri" w:cs="Calibri" w:eastAsia="Calibri" w:hAnsi="Calibri"/>
                <w:b w:val="false"/>
                <w:bCs w:val="false"/>
                <w:i w:val="false"/>
                <w:iCs w:val="false"/>
                <w:caps w:val="false"/>
                <w:color w:val="5B5B5B"/>
                <w:sz w:val="18"/>
                <w:szCs w:val="18"/>
              </w:rPr>
              <w:t xml:space="preserve">   |   </w:t>
            </w:r>
            <w:r>
              <w:rPr>
                <w:rFonts w:ascii="Calibri" w:cs="Calibri" w:eastAsia="Calibri" w:hAnsi="Calibri"/>
                <w:b w:val="false"/>
                <w:bCs w:val="false"/>
                <w:i/>
                <w:iCs/>
                <w:caps w:val="false"/>
                <w:color w:val="5B5B5B"/>
                <w:sz w:val="18"/>
                <w:szCs w:val="18"/>
              </w:rPr>
              <w:t xml:space="preserve">Rights · Representation · Decision-Making Architecture</w:t>
            </w:r>
          </w:p>
        </w:tc>
      </w:tr>
    </w:tbl>
    <w:p>
      <w:pPr>
        <w:spacing w:after="40" w:before="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rPr>
          <w:trHeight w:val="2592" w:hRule="atLeast"/>
        </w:trPr>
        <w:tc>
          <w:tcPr>
            <w:tcW w:type="dxa" w:w="9648"/>
            <w:tcBorders>
              <w:top w:val="dashed" w:color="D4D1CA" w:sz="6"/>
              <w:left w:val="dashed" w:color="D4D1CA" w:sz="6"/>
              <w:bottom w:val="dashed" w:color="D4D1CA" w:sz="6"/>
              <w:right w:val="dashed" w:color="D4D1CA" w:sz="6"/>
            </w:tcBorders>
            <w:shd w:fill="EFE9DA" w:val="clear"/>
            <w:tcMar>
              <w:top w:type="dxa" w:w="240"/>
              <w:left w:type="dxa" w:w="240"/>
              <w:bottom w:type="dxa" w:w="240"/>
              <w:right w:type="dxa" w:w="240"/>
            </w:tcMar>
            <w:vAlign w:val="center"/>
          </w:tcPr>
          <w:p>
            <w:pPr>
              <w:spacing w:after="40" w:before="0"/>
              <w:jc w:val="center"/>
            </w:pPr>
            <w:r>
              <w:rPr>
                <w:rFonts w:ascii="Calibri" w:cs="Calibri" w:eastAsia="Calibri" w:hAnsi="Calibri"/>
                <w:b/>
                <w:bCs/>
                <w:i w:val="false"/>
                <w:iCs w:val="false"/>
                <w:caps/>
                <w:color w:val="5B5B5B"/>
                <w:sz w:val="24"/>
                <w:szCs w:val="24"/>
              </w:rPr>
              <w:t xml:space="preserve">THUMBNAIL IMAGE</w:t>
            </w:r>
          </w:p>
          <w:p>
            <w:pPr>
              <w:spacing w:after="20" w:before="0"/>
              <w:jc w:val="center"/>
            </w:pPr>
            <w:r>
              <w:rPr>
                <w:rFonts w:ascii="Calibri" w:cs="Calibri" w:eastAsia="Calibri" w:hAnsi="Calibri"/>
                <w:b w:val="false"/>
                <w:bCs w:val="false"/>
                <w:i/>
                <w:iCs/>
                <w:caps w:val="false"/>
                <w:color w:val="5B5B5B"/>
                <w:sz w:val="18"/>
                <w:szCs w:val="18"/>
              </w:rPr>
              <w:t xml:space="preserve">Replace this placeholder with the featured image (1200 × 675 px recommended, 16:9).</w:t>
            </w:r>
          </w:p>
          <w:p>
            <w:pPr>
              <w:spacing w:after="0" w:before="0"/>
              <w:jc w:val="center"/>
            </w:pPr>
            <w:r>
              <w:rPr>
                <w:rFonts w:ascii="Calibri" w:cs="Calibri" w:eastAsia="Calibri" w:hAnsi="Calibri"/>
                <w:b w:val="false"/>
                <w:bCs w:val="false"/>
                <w:i w:val="false"/>
                <w:iCs w:val="false"/>
                <w:caps w:val="false"/>
                <w:color w:val="5B5B5B"/>
                <w:sz w:val="16"/>
                <w:szCs w:val="16"/>
              </w:rPr>
              <w:t xml:space="preserve">For WordPress upload: set the same image as the post Featured Image.</w:t>
            </w:r>
          </w:p>
        </w:tc>
      </w:tr>
    </w:tbl>
    <w:p>
      <w:pPr>
        <w:spacing w:after="80" w:before="280" w:line="280"/>
        <w:jc w:val="left"/>
      </w:pPr>
      <w:r>
        <w:rPr>
          <w:rFonts w:ascii="Calibri" w:cs="Calibri" w:eastAsia="Calibri" w:hAnsi="Calibri"/>
          <w:b/>
          <w:bCs/>
          <w:i w:val="false"/>
          <w:iCs w:val="false"/>
          <w:caps w:val="false"/>
          <w:color w:val="1F2A2C"/>
          <w:sz w:val="44"/>
          <w:szCs w:val="44"/>
        </w:rPr>
        <w:t xml:space="preserve">Women, AfCFTA, and the Cross-Border Trade Protocol</w:t>
      </w:r>
    </w:p>
    <w:p>
      <w:pPr>
        <w:spacing w:after="200" w:before="0" w:line="300"/>
        <w:jc w:val="left"/>
      </w:pPr>
      <w:r>
        <w:rPr>
          <w:rFonts w:ascii="Calibri" w:cs="Calibri" w:eastAsia="Calibri" w:hAnsi="Calibri"/>
          <w:b w:val="false"/>
          <w:bCs w:val="false"/>
          <w:i/>
          <w:iCs/>
          <w:caps w:val="false"/>
          <w:color w:val="944454"/>
          <w:sz w:val="24"/>
          <w:szCs w:val="24"/>
        </w:rPr>
        <w:t xml:space="preserve">Women conduct an estimated 70% of informal cross-border trade in Africa — the new AfCFTA Protocol on Women and Youth in Trade could formalise it, or leave it behind</w:t>
      </w:r>
    </w:p>
    <w:p>
      <w:pPr>
        <w:pBdr>
          <w:bottom w:val="single" w:color="D4D1CA" w:sz="4" w:space="1"/>
        </w:pBdr>
        <w:spacing w:after="200" w:before="0"/>
      </w:pPr>
      <w: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216"/>
        <w:gridCol w:w="3216"/>
        <w:gridCol w:w="3216"/>
      </w:tblGrid>
      <w:tr>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SERIES</w:t>
            </w:r>
          </w:p>
          <w:p>
            <w:pPr>
              <w:spacing w:after="0" w:before="0"/>
              <w:jc w:val="left"/>
            </w:pPr>
            <w:r>
              <w:rPr>
                <w:rFonts w:ascii="Calibri" w:cs="Calibri" w:eastAsia="Calibri" w:hAnsi="Calibri"/>
                <w:b w:val="false"/>
                <w:bCs w:val="false"/>
                <w:i w:val="false"/>
                <w:iCs w:val="false"/>
                <w:caps w:val="false"/>
                <w:color w:val="28251D"/>
                <w:sz w:val="17"/>
                <w:szCs w:val="17"/>
              </w:rPr>
              <w:t xml:space="preserve">AU Intelligence · 36-Brief Series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AUDIENCE</w:t>
            </w:r>
          </w:p>
          <w:p>
            <w:pPr>
              <w:spacing w:after="0" w:before="0"/>
              <w:jc w:val="left"/>
            </w:pPr>
            <w:r>
              <w:rPr>
                <w:rFonts w:ascii="Calibri" w:cs="Calibri" w:eastAsia="Calibri" w:hAnsi="Calibri"/>
                <w:b w:val="false"/>
                <w:bCs w:val="false"/>
                <w:i w:val="false"/>
                <w:iCs w:val="false"/>
                <w:caps w:val="false"/>
                <w:color w:val="28251D"/>
                <w:sz w:val="17"/>
                <w:szCs w:val="17"/>
              </w:rPr>
              <w:t xml:space="preserve">Donor desks · Parliamentary committees · Ministerial offices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FORMAT</w:t>
            </w:r>
          </w:p>
          <w:p>
            <w:pPr>
              <w:spacing w:after="0" w:before="0"/>
              <w:jc w:val="left"/>
            </w:pPr>
            <w:r>
              <w:rPr>
                <w:rFonts w:ascii="Calibri" w:cs="Calibri" w:eastAsia="Calibri" w:hAnsi="Calibri"/>
                <w:b w:val="false"/>
                <w:bCs w:val="false"/>
                <w:i w:val="false"/>
                <w:iCs w:val="false"/>
                <w:caps w:val="false"/>
                <w:color w:val="28251D"/>
                <w:sz w:val="17"/>
                <w:szCs w:val="17"/>
              </w:rPr>
              <w:t xml:space="preserve">One-page institutional briefing · Tabling-ready</w:t>
            </w:r>
          </w:p>
        </w:tc>
      </w:tr>
    </w:tbl>
    <w:p>
      <w:pPr>
        <w:spacing w:after="60" w:before="0"/>
        <w:jc w:val="left"/>
      </w:pPr>
      <w:r>
        <w:rPr>
          <w:rFonts w:ascii="Calibri" w:cs="Calibri" w:eastAsia="Calibri" w:hAnsi="Calibri"/>
          <w:b w:val="false"/>
          <w:bCs w:val="false"/>
          <w:i w:val="false"/>
          <w:iCs w:val="false"/>
          <w:caps w:val="false"/>
          <w:color w:val="28251D"/>
          <w:sz w:val="8"/>
          <w:szCs w:val="8"/>
        </w:rPr>
        <w:t xml:space="preserve"> </w:t>
      </w:r>
    </w:p>
    <w:p>
      <w:pPr>
        <w:pBdr>
          <w:left w:val="single" w:color="944454" w:sz="18" w:space="12"/>
        </w:pBdr>
        <w:spacing w:after="160" w:before="120" w:line="320"/>
        <w:ind w:left="200"/>
      </w:pPr>
      <w:r>
        <w:rPr>
          <w:rFonts w:ascii="Calibri" w:cs="Calibri" w:eastAsia="Calibri" w:hAnsi="Calibri"/>
          <w:b w:val="false"/>
          <w:bCs w:val="false"/>
          <w:i w:val="false"/>
          <w:iCs w:val="false"/>
          <w:caps w:val="false"/>
          <w:color w:val="28251D"/>
          <w:sz w:val="23"/>
          <w:szCs w:val="23"/>
        </w:rPr>
        <w:t xml:space="preserve">Informal cross-border trade across Africa is estimated at between $17 and $40 billion annually — comparable to the formal export earnings of several mid-sized African economies. Across most regional corridors, women conduct between 60 and 80% of that trade: maize across the Great Lakes, fish across Lake Victoria, textiles across the Sahel, electronics across the SADC corridors. The traders are largely uncounted, untaxed, and unprotected — exposed to harassment, arbitrary seizures, and corruption at border crossings, with women facing documented sexual extortion at rates between 14 and 28% depending on corridor and season.</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AfCFTA Protocol on Women and Youth in Trade, adopted by AU Heads of State in February 2024 after four years of negotiation, is the first trade instrument anywhere globally to be drafted specifically around gender. Its 41 articles include commitments on Simplified Trade Regimes for low-value consignments, mutual recognition of professional qualifications, women-owned business set-asides in public procurement, gender-disaggregated trade data, and a continental Mediator on Gender and Trade. Ratification has been brisk by AU standards — sixteen states within the first eighteen months — but the Protocol enters into force only at twenty-two ratifications, and operationalisation will require both regulatory work and infrastructure investment at border posts.</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Simplified Trade Regime is the most tractable component. Where implemented — at the Busia, Mpondwe, Kasumbalesa, and Beitbridge crossings, among others — STRs reduce documentation requirements for shipments below defined thresholds (typically $2,000), permit clearance in local currency, and shorten transit times from days to hours. Pilot evaluations in East Africa show 35 to 60% increases in formally recorded cross-border trade among women traders within twelve months of STR rollout. The instrument works. What it lacks is the financing to scale across the 84 priority border posts identified by the AfCFTA Secretariat.</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For continental partners, the AfCFTA Women and Youth Protocol is a rare convergence of trade policy, gender policy, and infrastructure investment. The Protocol creates the legal framework; the STR creates the operational instrument; the border posts are the physical infrastructure. Each layer can be financed separately or in combination. The political coalition includes the AfCFTA Secretariat, the Regional Economic Communities, the AU Women, Gender and Youth Directorate, and the AfDB's Gender Window — all of whom now treat the Protocol as a flagship.</w:t>
      </w:r>
    </w:p>
    <w:p>
      <w:pPr>
        <w:spacing w:after="60" w:before="10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00696F" w:sz="6"/>
              <w:left w:val="single" w:color="00696F" w:sz="18"/>
              <w:bottom w:val="single" w:color="00696F" w:sz="6"/>
              <w:right w:val="single" w:color="00696F" w:sz="6"/>
            </w:tcBorders>
            <w:shd w:fill="E9F2F2"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00696F"/>
                <w:sz w:val="18"/>
                <w:szCs w:val="18"/>
              </w:rPr>
              <w:t xml:space="preserve">ART INSIGHT — Institutional Read</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The AfCFTA Women and Youth Protocol is the most significant gender-economic instrument adopted on the continent in a generation. Its operational potential rests on three things: ratification, STR rollout, and border-post investment. None of these is glamorous; all of them are fundable; together they transform the legal status and economic visibility of millions of women traders. This is gender-equality work that happens at customs posts, not at conferences.</w:t>
            </w:r>
          </w:p>
        </w:tc>
      </w:tr>
    </w:tbl>
    <w:p>
      <w:pPr>
        <w:spacing w:after="60" w:before="8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C8B2C" w:sz="6"/>
              <w:left w:val="single" w:color="BC8B2C" w:sz="18"/>
              <w:bottom w:val="single" w:color="BC8B2C" w:sz="6"/>
              <w:right w:val="single" w:color="BC8B2C" w:sz="6"/>
            </w:tcBorders>
            <w:shd w:fill="F7F0DC"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BC8B2C"/>
                <w:sz w:val="18"/>
                <w:szCs w:val="18"/>
              </w:rPr>
              <w:t xml:space="preserve">DONOR RELEVANCE — Decision Implication</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For donors, the AfCFTA Women and Youth Protocol is the most significant gender-economic instrument adopted in a generation. Three financing layers are visible: ratification advocacy, Simplified Trade Regime rollout, and border-post infrastructure. Investing across the three transforms the legal status and economic visibility of the women who conduct most of Africa's cross-border trade.</w:t>
            </w:r>
          </w:p>
        </w:tc>
      </w:tr>
    </w:tbl>
    <w:p>
      <w:pPr>
        <w:spacing w:after="60" w:before="240"/>
        <w:jc w:val="left"/>
      </w:pPr>
      <w:r>
        <w:rPr>
          <w:rFonts w:ascii="Calibri" w:cs="Calibri" w:eastAsia="Calibri" w:hAnsi="Calibri"/>
          <w:b/>
          <w:bCs/>
          <w:i w:val="false"/>
          <w:iCs w:val="false"/>
          <w:caps/>
          <w:color w:val="5B5B5B"/>
          <w:sz w:val="18"/>
          <w:szCs w:val="18"/>
        </w:rPr>
        <w:t xml:space="preserve">AT-A-GLANCE ANALYTICS</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087"/>
        <w:gridCol w:w="6560"/>
      </w:tblGrid>
      <w:tr>
        <w:tc>
          <w:tcPr>
            <w:tcW w:type="dxa" w:w="3087"/>
            <w:tcBorders>
              <w:top w:val="single" w:color="1F2A2C" w:sz="18"/>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Trade volume</w:t>
            </w:r>
          </w:p>
        </w:tc>
        <w:tc>
          <w:tcPr>
            <w:tcW w:type="dxa" w:w="6560"/>
            <w:tcBorders>
              <w:top w:val="single" w:color="1F2A2C" w:sz="18"/>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Informal cross-border trade — $17–40 bn/yr · women conduct 60–80%</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Treaty instrument</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AfCFTA Protocol on Women and Youth in Trade (2024) — 41 articles · 22 ratifications needed for entry into force</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Operational tool</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Simplified Trade Regime — 35–60% uplift in formally recorded women's trade (12-month pilot data)</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Scale opportunity</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84 priority border posts identified by AfCFTA Secretariat</w:t>
            </w:r>
          </w:p>
        </w:tc>
      </w:tr>
      <w:tr>
        <w:tc>
          <w:tcPr>
            <w:tcW w:type="dxa" w:w="3087"/>
            <w:tcBorders>
              <w:top w:val="single" w:color="D4D1CA" w:sz="4"/>
              <w:left w:val="none" w:color="FFFFFF" w:sz="0"/>
              <w:bottom w:val="single" w:color="1F2A2C" w:sz="18"/>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Coalition</w:t>
            </w:r>
          </w:p>
        </w:tc>
        <w:tc>
          <w:tcPr>
            <w:tcW w:type="dxa" w:w="6560"/>
            <w:tcBorders>
              <w:top w:val="single" w:color="D4D1CA" w:sz="4"/>
              <w:left w:val="single" w:color="D4D1CA" w:sz="4"/>
              <w:bottom w:val="single" w:color="1F2A2C" w:sz="18"/>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AfCFTA Secretariat · RECs · AU Women, Gender and Youth Directorate · AfDB Gender Window</w:t>
            </w:r>
          </w:p>
        </w:tc>
      </w:tr>
    </w:tbl>
    <w:p>
      <w:pPr>
        <w:pBdr>
          <w:bottom w:val="single" w:color="944454" w:sz="12" w:space="1"/>
        </w:pBdr>
        <w:spacing w:after="100" w:before="200"/>
      </w:pPr>
      <w:r>
        <w:t xml:space="preserve"> </w:t>
      </w:r>
    </w:p>
    <w:p>
      <w:pPr>
        <w:spacing w:after="80" w:before="0"/>
        <w:jc w:val="left"/>
      </w:pPr>
      <w:r>
        <w:rPr>
          <w:rFonts w:ascii="Calibri" w:cs="Calibri" w:eastAsia="Calibri" w:hAnsi="Calibri"/>
          <w:b/>
          <w:bCs/>
          <w:i w:val="false"/>
          <w:iCs w:val="false"/>
          <w:caps/>
          <w:color w:val="5B5B5B"/>
          <w:sz w:val="14"/>
          <w:szCs w:val="14"/>
        </w:rPr>
        <w:t xml:space="preserve">SUGGESTED CITATION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iCs/>
          <w:caps w:val="false"/>
          <w:color w:val="5B5B5B"/>
          <w:sz w:val="14"/>
          <w:szCs w:val="14"/>
        </w:rPr>
        <w:t xml:space="preserve">African Renaissance Trust (2026). “Women, AfCFTA, and the Cross-Border Trade Protocol.” AU Intelligence Series, Institutional Briefing No. 36/36, GENDER EQUALITY pillar. Available at africanrenaissancetrust.org/insights.</w:t>
      </w:r>
    </w:p>
    <w:p>
      <w:pPr>
        <w:spacing w:after="0" w:before="0"/>
        <w:jc w:val="left"/>
      </w:pPr>
      <w:r>
        <w:rPr>
          <w:rFonts w:ascii="Calibri" w:cs="Calibri" w:eastAsia="Calibri" w:hAnsi="Calibri"/>
          <w:b/>
          <w:bCs/>
          <w:i w:val="false"/>
          <w:iCs w:val="false"/>
          <w:caps/>
          <w:color w:val="5B5B5B"/>
          <w:sz w:val="14"/>
          <w:szCs w:val="14"/>
        </w:rPr>
        <w:t xml:space="preserve">FILE METADATA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val="false"/>
          <w:iCs w:val="false"/>
          <w:caps w:val="false"/>
          <w:color w:val="5B5B5B"/>
          <w:sz w:val="14"/>
          <w:szCs w:val="14"/>
        </w:rPr>
        <w:t xml:space="preserve">Slug: women-afcfta-cross-border-trade · Pillar cluster index: 10/10 · WordPress upload: Insights → Add New → Featured Image required.</w:t>
      </w:r>
    </w:p>
    <w:sectPr>
      <w:headerReference w:type="default" r:id="rId7"/>
      <w:footerReference w:type="default" r:id="rId8"/>
      <w:pgSz w:w="12240" w:h="15840"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b w:val="false"/>
        <w:bCs w:val="false"/>
        <w:i w:val="false"/>
        <w:iCs w:val="false"/>
        <w:caps w:val="false"/>
        <w:color w:val="5B5B5B"/>
        <w:sz w:val="14"/>
        <w:szCs w:val="14"/>
      </w:rPr>
      <w:t xml:space="preserve">© African Renaissance Trust 2026  ·  Institutional Briefing  ·  </w:t>
    </w:r>
    <w:r>
      <w:rPr>
        <w:rFonts w:ascii="Calibri" w:cs="Calibri" w:eastAsia="Calibri" w:hAnsi="Calibri"/>
        <w:color w:val="5B5B5B"/>
        <w:sz w:val="14"/>
        <w:szCs w:val="14"/>
      </w:rPr>
      <w:t xml:space="preserve">Brief </w:t>
      <w:fldChar w:fldCharType="begin"/>
      <w:instrText xml:space="preserve">PAGE</w:instrText>
      <w:fldChar w:fldCharType="separate"/>
      <w:fldChar w:fldCharType="end"/>
      <w:t xml:space="preserve"> / 36</w:t>
    </w:r>
    <w:r>
      <w:rPr>
        <w:rFonts w:ascii="Calibri" w:cs="Calibri" w:eastAsia="Calibri" w:hAnsi="Calibri"/>
        <w:b w:val="false"/>
        <w:bCs w:val="false"/>
        <w:i w:val="false"/>
        <w:iCs w:val="false"/>
        <w:caps w:val="false"/>
        <w:color w:val="5B5B5B"/>
        <w:sz w:val="14"/>
        <w:szCs w:val="14"/>
      </w:rPr>
      <w:t xml:space="preserve">  ·  insights.africanrenaissancetrust.org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before="0"/>
      <w:jc w:val="left"/>
    </w:pPr>
    <w:r>
      <w:rPr>
        <w:rFonts w:ascii="Calibri" w:cs="Calibri" w:eastAsia="Calibri" w:hAnsi="Calibri"/>
        <w:b/>
        <w:bCs/>
        <w:i w:val="false"/>
        <w:iCs w:val="false"/>
        <w:caps/>
        <w:color w:val="1F2A2C"/>
        <w:sz w:val="16"/>
        <w:szCs w:val="16"/>
      </w:rPr>
      <w:t xml:space="preserve">AFRICAN RENAISSANCE TRUST</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val="false"/>
        <w:bCs w:val="false"/>
        <w:i w:val="false"/>
        <w:iCs w:val="false"/>
        <w:caps/>
        <w:color w:val="5B5B5B"/>
        <w:sz w:val="16"/>
        <w:szCs w:val="16"/>
      </w:rPr>
      <w:t xml:space="preserve">AU INTELLIGENCE SERIES</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bCs/>
        <w:i w:val="false"/>
        <w:iCs w:val="false"/>
        <w:caps/>
        <w:color w:val="944454"/>
        <w:sz w:val="16"/>
        <w:szCs w:val="16"/>
      </w:rPr>
      <w:t xml:space="preserve">GENDER EQUALITY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 AfCFTA, and the Cross-Border Trade Protocol — AU Intelligence Brief 36/30</dc:title>
  <dc:creator>African Renaissance Trust</dc:creator>
  <dc:description>Women conduct an estimated 70% of informal cross-border trade in Africa — the new AfCFTA Protocol on Women and Youth in Trade could formalise it, or leave it behind</dc:description>
  <cp:lastModifiedBy>Un-named</cp:lastModifiedBy>
  <cp:revision>1</cp:revision>
  <dcterms:created xsi:type="dcterms:W3CDTF">2026-05-12T23:56:43.483Z</dcterms:created>
  <dcterms:modified xsi:type="dcterms:W3CDTF">2026-05-12T23:56:43.483Z</dcterms:modified>
</cp:coreProperties>
</file>

<file path=docProps/custom.xml><?xml version="1.0" encoding="utf-8"?>
<Properties xmlns="http://schemas.openxmlformats.org/officeDocument/2006/custom-properties" xmlns:vt="http://schemas.openxmlformats.org/officeDocument/2006/docPropsVTypes"/>
</file>